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9357" w:tblpY="2422"/>
        <w:tblOverlap w:val="never"/>
        <w:tblW w:w="1985" w:type="dxa"/>
        <w:tblCellMar>
          <w:left w:w="0" w:type="dxa"/>
        </w:tblCellMar>
        <w:tblLook w:val="01E0" w:firstRow="1" w:lastRow="1" w:firstColumn="1" w:lastColumn="1" w:noHBand="0" w:noVBand="0"/>
      </w:tblPr>
      <w:tblGrid>
        <w:gridCol w:w="1985"/>
      </w:tblGrid>
      <w:tr w:rsidR="00F37F63" w:rsidRPr="006F6849" w:rsidTr="00122C71">
        <w:trPr>
          <w:trHeight w:val="2835"/>
        </w:trPr>
        <w:tc>
          <w:tcPr>
            <w:tcW w:w="2484" w:type="dxa"/>
          </w:tcPr>
          <w:bookmarkStart w:id="0" w:name="_GoBack" w:displacedByCustomXml="next"/>
          <w:bookmarkEnd w:id="0" w:displacedByCustomXml="next"/>
          <w:sdt>
            <w:sdtPr>
              <w:alias w:val="Vælg dato"/>
              <w:tag w:val="Vælg dato"/>
              <w:id w:val="-696322164"/>
              <w:placeholder>
                <w:docPart w:val="1102700AAA9243BFBFA7499DA621CF99"/>
              </w:placeholder>
              <w:date w:fullDate="2015-12-03T00:00:00Z">
                <w:dateFormat w:val="d. MMMM yyyy"/>
                <w:lid w:val="da-DK"/>
                <w:storeMappedDataAs w:val="dateTime"/>
                <w:calendar w:val="gregorian"/>
              </w:date>
            </w:sdtPr>
            <w:sdtEndPr/>
            <w:sdtContent>
              <w:p w:rsidR="00F37F63" w:rsidRDefault="00E06924" w:rsidP="00F37F63">
                <w:pPr>
                  <w:pStyle w:val="Hjrespaltetekst"/>
                  <w:rPr>
                    <w:rFonts w:ascii="Garamond" w:hAnsi="Garamond"/>
                    <w:noProof w:val="0"/>
                    <w:color w:val="auto"/>
                    <w:spacing w:val="0"/>
                    <w:sz w:val="22"/>
                  </w:rPr>
                </w:pPr>
                <w:r>
                  <w:t>3. december 2015</w:t>
                </w:r>
              </w:p>
            </w:sdtContent>
          </w:sdt>
          <w:p w:rsidR="00F37F63" w:rsidRDefault="00F37F63" w:rsidP="00F37F63">
            <w:pPr>
              <w:pStyle w:val="Template-Dato"/>
            </w:pPr>
            <w:r>
              <w:t xml:space="preserve">J.nr. </w:t>
            </w:r>
            <w:bookmarkStart w:id="1" w:name="sagsnr"/>
            <w:bookmarkEnd w:id="1"/>
            <w:r w:rsidR="001316B3">
              <w:t>15-3151455</w:t>
            </w:r>
          </w:p>
          <w:p w:rsidR="00F37F63" w:rsidRPr="00102933" w:rsidRDefault="00F37F63" w:rsidP="00F37F63">
            <w:pPr>
              <w:pStyle w:val="Hjrespaltetekst"/>
              <w:rPr>
                <w:lang w:val="nb-NO"/>
              </w:rPr>
            </w:pPr>
            <w:r w:rsidRPr="00102933">
              <w:rPr>
                <w:lang w:val="nb-NO"/>
              </w:rPr>
              <w:t xml:space="preserve"> </w:t>
            </w:r>
          </w:p>
        </w:tc>
      </w:tr>
    </w:tbl>
    <w:tbl>
      <w:tblPr>
        <w:tblStyle w:val="Tabel-Gitt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tblGrid>
      <w:tr w:rsidR="00F37F63" w:rsidRPr="00094ABD" w:rsidTr="00C45EEB">
        <w:trPr>
          <w:trHeight w:hRule="exact" w:val="2835"/>
        </w:trPr>
        <w:tc>
          <w:tcPr>
            <w:tcW w:w="7655" w:type="dxa"/>
            <w:vAlign w:val="bottom"/>
          </w:tcPr>
          <w:p w:rsidR="00F37F63" w:rsidRPr="00094ABD" w:rsidRDefault="00FB1FE9" w:rsidP="00F37F63">
            <w:r w:rsidRPr="00FB1FE9">
              <w:t>Til Folketinget – Skatteudvalget</w:t>
            </w:r>
          </w:p>
        </w:tc>
      </w:tr>
    </w:tbl>
    <w:p w:rsidR="00F37F63" w:rsidRDefault="00F37F63" w:rsidP="00F37F63"/>
    <w:p w:rsidR="00FB1FE9" w:rsidRPr="001316B3" w:rsidRDefault="00600E3E" w:rsidP="00FB1FE9">
      <w:pPr>
        <w:rPr>
          <w:szCs w:val="22"/>
        </w:rPr>
      </w:pPr>
      <w:r w:rsidRPr="001316B3">
        <w:rPr>
          <w:szCs w:val="22"/>
        </w:rPr>
        <w:t>Til udvalgets orientering vedlægges høringsskema samt de modtagne høringssvar vedr</w:t>
      </w:r>
      <w:r w:rsidRPr="001316B3">
        <w:rPr>
          <w:szCs w:val="22"/>
        </w:rPr>
        <w:t>ø</w:t>
      </w:r>
      <w:r w:rsidRPr="001316B3">
        <w:rPr>
          <w:szCs w:val="22"/>
        </w:rPr>
        <w:t>rende forslag til</w:t>
      </w:r>
      <w:r w:rsidR="000A018B">
        <w:rPr>
          <w:szCs w:val="22"/>
        </w:rPr>
        <w:t xml:space="preserve"> </w:t>
      </w:r>
      <w:r w:rsidR="001316B3" w:rsidRPr="001316B3">
        <w:rPr>
          <w:szCs w:val="22"/>
        </w:rPr>
        <w:t>lov om ændring af fondsbeskatningsloven, lov om indkomstbeskatning af aktieselskaber m.v. og fusionsskatteloven (A</w:t>
      </w:r>
      <w:r w:rsidR="001316B3" w:rsidRPr="001316B3">
        <w:rPr>
          <w:iCs/>
          <w:szCs w:val="22"/>
        </w:rPr>
        <w:t>fskaffelse af fondes konsolideringsfradrag og overførselsreglen for fonde m.v.)</w:t>
      </w:r>
    </w:p>
    <w:p w:rsidR="00967833" w:rsidRDefault="00967833" w:rsidP="00967833"/>
    <w:p w:rsidR="00967833" w:rsidRDefault="00967833" w:rsidP="00967833"/>
    <w:p w:rsidR="00161AF0" w:rsidRDefault="00BD67C4" w:rsidP="00161AF0">
      <w:pPr>
        <w:keepNext/>
        <w:keepLines/>
        <w:jc w:val="center"/>
      </w:pPr>
      <w:r w:rsidRPr="00BD67C4">
        <w:t>Karsten Lauritzen</w:t>
      </w:r>
    </w:p>
    <w:p w:rsidR="00967833" w:rsidRDefault="00967833" w:rsidP="00967833">
      <w:pPr>
        <w:keepNext/>
        <w:keepLines/>
        <w:jc w:val="right"/>
      </w:pPr>
      <w:r>
        <w:t xml:space="preserve">/ </w:t>
      </w:r>
      <w:r w:rsidR="001316B3">
        <w:t>Lise Bo Nielsen</w:t>
      </w:r>
    </w:p>
    <w:p w:rsidR="00815F28" w:rsidRDefault="00815F28" w:rsidP="00C76ABB">
      <w:pPr>
        <w:pStyle w:val="Tabel-BrdtekstmedafstandptekstGaramond"/>
      </w:pPr>
      <w:r>
        <w:br w:type="page"/>
      </w:r>
    </w:p>
    <w:tbl>
      <w:tblPr>
        <w:tblStyle w:val="Tabel-Git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53"/>
        <w:gridCol w:w="194"/>
        <w:gridCol w:w="3324"/>
        <w:gridCol w:w="209"/>
        <w:gridCol w:w="3259"/>
      </w:tblGrid>
      <w:tr w:rsidR="009A36E0" w:rsidTr="00C87589">
        <w:trPr>
          <w:tblHeader/>
        </w:trPr>
        <w:tc>
          <w:tcPr>
            <w:tcW w:w="2653" w:type="dxa"/>
            <w:shd w:val="clear" w:color="auto" w:fill="D1C5C3"/>
            <w:vAlign w:val="center"/>
          </w:tcPr>
          <w:p w:rsidR="00600E3E" w:rsidRDefault="00600E3E" w:rsidP="00B9508F">
            <w:pPr>
              <w:pStyle w:val="Tabel-KolonneOverskrift"/>
            </w:pPr>
            <w:r>
              <w:lastRenderedPageBreak/>
              <w:t>Organisation</w:t>
            </w:r>
          </w:p>
        </w:tc>
        <w:tc>
          <w:tcPr>
            <w:tcW w:w="194" w:type="dxa"/>
            <w:shd w:val="clear" w:color="auto" w:fill="FFFFFF" w:themeFill="background1"/>
            <w:vAlign w:val="center"/>
          </w:tcPr>
          <w:p w:rsidR="00600E3E" w:rsidRDefault="00600E3E" w:rsidP="00B9508F">
            <w:pPr>
              <w:keepNext/>
              <w:keepLines/>
            </w:pPr>
          </w:p>
        </w:tc>
        <w:tc>
          <w:tcPr>
            <w:tcW w:w="3324" w:type="dxa"/>
            <w:shd w:val="clear" w:color="auto" w:fill="D1C5C3" w:themeFill="accent3"/>
            <w:vAlign w:val="center"/>
          </w:tcPr>
          <w:p w:rsidR="00600E3E" w:rsidRDefault="00600E3E" w:rsidP="00B9508F">
            <w:pPr>
              <w:pStyle w:val="Tabel-KolonneOverskrift"/>
            </w:pPr>
            <w:r>
              <w:t>Bemærkninger</w:t>
            </w:r>
          </w:p>
        </w:tc>
        <w:tc>
          <w:tcPr>
            <w:tcW w:w="209" w:type="dxa"/>
            <w:shd w:val="clear" w:color="auto" w:fill="FFFFFF" w:themeFill="background1"/>
            <w:vAlign w:val="center"/>
          </w:tcPr>
          <w:p w:rsidR="00600E3E" w:rsidRDefault="00600E3E" w:rsidP="00B9508F">
            <w:pPr>
              <w:keepNext/>
              <w:keepLines/>
            </w:pPr>
          </w:p>
        </w:tc>
        <w:tc>
          <w:tcPr>
            <w:tcW w:w="3259" w:type="dxa"/>
            <w:shd w:val="clear" w:color="auto" w:fill="14143C" w:themeFill="accent1"/>
            <w:vAlign w:val="center"/>
          </w:tcPr>
          <w:p w:rsidR="00600E3E" w:rsidRDefault="00600E3E" w:rsidP="00B9508F">
            <w:pPr>
              <w:pStyle w:val="Tabel-KolonneOverskriftHvid"/>
            </w:pPr>
            <w:r>
              <w:t>Kommentarer</w:t>
            </w:r>
          </w:p>
        </w:tc>
      </w:tr>
      <w:tr w:rsidR="005557E1" w:rsidRPr="00B5346F" w:rsidTr="00C87589">
        <w:tc>
          <w:tcPr>
            <w:tcW w:w="2653" w:type="dxa"/>
            <w:tcBorders>
              <w:bottom w:val="single" w:sz="4" w:space="0" w:color="D1C5C3" w:themeColor="accent3"/>
            </w:tcBorders>
            <w:shd w:val="clear" w:color="auto" w:fill="FBF9F9"/>
          </w:tcPr>
          <w:p w:rsidR="005557E1" w:rsidRDefault="005557E1" w:rsidP="001316B3">
            <w:pPr>
              <w:pStyle w:val="Tabel-BrdtekstmedafstandptekstGaramond"/>
              <w:rPr>
                <w:i/>
              </w:rPr>
            </w:pPr>
            <w:r>
              <w:rPr>
                <w:i/>
              </w:rPr>
              <w:t>Advokatsamfundet</w:t>
            </w:r>
          </w:p>
        </w:tc>
        <w:tc>
          <w:tcPr>
            <w:tcW w:w="194" w:type="dxa"/>
            <w:shd w:val="clear" w:color="auto" w:fill="FFFFFF" w:themeFill="background1"/>
          </w:tcPr>
          <w:p w:rsidR="005557E1" w:rsidRPr="00B5346F" w:rsidRDefault="005557E1" w:rsidP="00122C71"/>
        </w:tc>
        <w:tc>
          <w:tcPr>
            <w:tcW w:w="3324" w:type="dxa"/>
            <w:tcBorders>
              <w:bottom w:val="single" w:sz="4" w:space="0" w:color="D1C5C3" w:themeColor="accent3"/>
            </w:tcBorders>
            <w:shd w:val="clear" w:color="auto" w:fill="FBF9F9"/>
          </w:tcPr>
          <w:p w:rsidR="005557E1" w:rsidRPr="0070651C" w:rsidRDefault="005557E1" w:rsidP="0070651C">
            <w:pPr>
              <w:pStyle w:val="Tabel-BrdtekstmedafstandptekstGaramond"/>
            </w:pPr>
            <w:r>
              <w:t>Advokatrådet finder ikke grun</w:t>
            </w:r>
            <w:r>
              <w:t>d</w:t>
            </w:r>
            <w:r>
              <w:t>lag for at udtale sig i sagen.</w:t>
            </w:r>
          </w:p>
        </w:tc>
        <w:tc>
          <w:tcPr>
            <w:tcW w:w="209" w:type="dxa"/>
            <w:shd w:val="clear" w:color="auto" w:fill="FFFFFF" w:themeFill="background1"/>
          </w:tcPr>
          <w:p w:rsidR="005557E1" w:rsidRPr="00B5346F" w:rsidRDefault="005557E1" w:rsidP="00122C71"/>
        </w:tc>
        <w:tc>
          <w:tcPr>
            <w:tcW w:w="3259" w:type="dxa"/>
            <w:tcBorders>
              <w:bottom w:val="single" w:sz="4" w:space="0" w:color="14143C" w:themeColor="accent1"/>
            </w:tcBorders>
            <w:shd w:val="clear" w:color="auto" w:fill="D2CED8"/>
          </w:tcPr>
          <w:p w:rsidR="005557E1" w:rsidRDefault="005557E1" w:rsidP="00122C71">
            <w:pPr>
              <w:pStyle w:val="Tabel-BrdtekstmedafstandptekstGaramond"/>
            </w:pPr>
          </w:p>
        </w:tc>
      </w:tr>
      <w:tr w:rsidR="00D843E5" w:rsidRPr="00B5346F" w:rsidTr="00C87589">
        <w:tc>
          <w:tcPr>
            <w:tcW w:w="2653" w:type="dxa"/>
            <w:tcBorders>
              <w:bottom w:val="single" w:sz="4" w:space="0" w:color="D1C5C3" w:themeColor="accent3"/>
            </w:tcBorders>
            <w:shd w:val="clear" w:color="auto" w:fill="FBF9F9"/>
          </w:tcPr>
          <w:p w:rsidR="00D843E5" w:rsidRPr="00C0001A" w:rsidRDefault="00D843E5" w:rsidP="001316B3">
            <w:pPr>
              <w:pStyle w:val="Tabel-BrdtekstmedafstandptekstGaramond"/>
              <w:rPr>
                <w:i/>
              </w:rPr>
            </w:pPr>
            <w:r>
              <w:rPr>
                <w:i/>
              </w:rPr>
              <w:t>Akademikerne</w:t>
            </w:r>
          </w:p>
        </w:tc>
        <w:tc>
          <w:tcPr>
            <w:tcW w:w="194" w:type="dxa"/>
            <w:shd w:val="clear" w:color="auto" w:fill="FFFFFF" w:themeFill="background1"/>
          </w:tcPr>
          <w:p w:rsidR="00D843E5" w:rsidRPr="00B5346F" w:rsidRDefault="00D843E5" w:rsidP="00122C71"/>
        </w:tc>
        <w:tc>
          <w:tcPr>
            <w:tcW w:w="3324" w:type="dxa"/>
            <w:tcBorders>
              <w:bottom w:val="single" w:sz="4" w:space="0" w:color="D1C5C3" w:themeColor="accent3"/>
            </w:tcBorders>
            <w:shd w:val="clear" w:color="auto" w:fill="FBF9F9"/>
          </w:tcPr>
          <w:p w:rsidR="0070651C" w:rsidRPr="0070651C" w:rsidRDefault="0070651C" w:rsidP="0070651C">
            <w:pPr>
              <w:pStyle w:val="Tabel-BrdtekstmedafstandptekstGaramond"/>
            </w:pPr>
            <w:r w:rsidRPr="0070651C">
              <w:t>Akademikerne konstatere</w:t>
            </w:r>
            <w:r w:rsidR="00B629F5">
              <w:t>r</w:t>
            </w:r>
            <w:r w:rsidRPr="0070651C">
              <w:t xml:space="preserve">, at </w:t>
            </w:r>
            <w:r w:rsidR="00B629F5">
              <w:t xml:space="preserve">lovforslaget – </w:t>
            </w:r>
            <w:r w:rsidRPr="0070651C">
              <w:t xml:space="preserve">der </w:t>
            </w:r>
            <w:r w:rsidR="00B629F5">
              <w:t>er sendt i h</w:t>
            </w:r>
            <w:r w:rsidR="00B629F5">
              <w:t>ø</w:t>
            </w:r>
            <w:r w:rsidR="00B629F5">
              <w:t xml:space="preserve">ring </w:t>
            </w:r>
            <w:r w:rsidRPr="0070651C">
              <w:t xml:space="preserve">med en meget kort frist </w:t>
            </w:r>
            <w:r w:rsidR="00B629F5">
              <w:t xml:space="preserve">– </w:t>
            </w:r>
            <w:r w:rsidRPr="0070651C">
              <w:t>vedrører beskatningen af bl.a. en række private fonde, som bidr</w:t>
            </w:r>
            <w:r w:rsidRPr="0070651C">
              <w:t>a</w:t>
            </w:r>
            <w:r w:rsidRPr="0070651C">
              <w:t xml:space="preserve">ger væsentligt til finansieringen af dansk forskning. Samtidig </w:t>
            </w:r>
            <w:r w:rsidR="00B629F5">
              <w:t>ko</w:t>
            </w:r>
            <w:r w:rsidR="00B629F5">
              <w:t>n</w:t>
            </w:r>
            <w:r w:rsidR="00B629F5">
              <w:t>stateres det</w:t>
            </w:r>
            <w:r w:rsidRPr="0070651C">
              <w:t>, at der fra flere fo</w:t>
            </w:r>
            <w:r w:rsidRPr="0070651C">
              <w:t>n</w:t>
            </w:r>
            <w:r w:rsidRPr="0070651C">
              <w:t>des side har været sat spørg</w:t>
            </w:r>
            <w:r w:rsidRPr="0070651C">
              <w:t>s</w:t>
            </w:r>
            <w:r w:rsidRPr="0070651C">
              <w:t xml:space="preserve">målstegn ved de beregninger, der ligger til grund for lovforslaget, således at det ikke står klart, hvor store økonomiske konsekvenser forslaget vil få i form af faldende uddelinger fra fondene. Der vil således være tale om </w:t>
            </w:r>
            <w:r w:rsidRPr="0070651C">
              <w:rPr>
                <w:i/>
              </w:rPr>
              <w:t>minimum</w:t>
            </w:r>
            <w:r w:rsidRPr="0070651C">
              <w:t xml:space="preserve"> de 200 mio. kr.</w:t>
            </w:r>
            <w:r w:rsidR="00B629F5">
              <w:t>,</w:t>
            </w:r>
            <w:r w:rsidRPr="0070651C">
              <w:t xml:space="preserve"> som der henvises til i høringsmaterialet, mens fond</w:t>
            </w:r>
            <w:r w:rsidRPr="0070651C">
              <w:t>e</w:t>
            </w:r>
            <w:r w:rsidRPr="0070651C">
              <w:t>ne vurderer, at beløbet er en del større.</w:t>
            </w:r>
          </w:p>
          <w:p w:rsidR="0070651C" w:rsidRPr="0070651C" w:rsidRDefault="0070651C" w:rsidP="0070651C">
            <w:pPr>
              <w:pStyle w:val="Tabel-BrdtekstmedafstandptekstGaramond"/>
            </w:pPr>
          </w:p>
          <w:p w:rsidR="0070651C" w:rsidRPr="0070651C" w:rsidRDefault="0070651C" w:rsidP="0070651C">
            <w:pPr>
              <w:pStyle w:val="Tabel-BrdtekstmedafstandptekstGaramond"/>
            </w:pPr>
            <w:r w:rsidRPr="0070651C">
              <w:t xml:space="preserve">Akademikerne vil gerne gøre opmærksom på, at </w:t>
            </w:r>
            <w:r w:rsidR="00B629F5">
              <w:t xml:space="preserve">en </w:t>
            </w:r>
            <w:r w:rsidRPr="0070651C">
              <w:t>gennemf</w:t>
            </w:r>
            <w:r w:rsidRPr="0070651C">
              <w:t>ø</w:t>
            </w:r>
            <w:r w:rsidRPr="0070651C">
              <w:t>relse af lovforslaget kan få vid</w:t>
            </w:r>
            <w:r w:rsidRPr="0070651C">
              <w:t>t</w:t>
            </w:r>
            <w:r w:rsidRPr="0070651C">
              <w:t>rækkende konsekvenser for forskningen i Danmark. Hidtil har det netop været en stor fordel for dansk forskning, at en række private fonde bidrager til fina</w:t>
            </w:r>
            <w:r w:rsidRPr="0070651C">
              <w:t>n</w:t>
            </w:r>
            <w:r w:rsidRPr="0070651C">
              <w:t>sieringen af en lang række fors</w:t>
            </w:r>
            <w:r w:rsidRPr="0070651C">
              <w:t>k</w:t>
            </w:r>
            <w:r w:rsidRPr="0070651C">
              <w:t>ningsfaciliteter og forskningspr</w:t>
            </w:r>
            <w:r w:rsidRPr="0070651C">
              <w:t>o</w:t>
            </w:r>
            <w:r w:rsidRPr="0070651C">
              <w:t>jekter – også ved at donere v</w:t>
            </w:r>
            <w:r w:rsidRPr="0070651C">
              <w:t>æ</w:t>
            </w:r>
            <w:r w:rsidRPr="0070651C">
              <w:t xml:space="preserve">sentlige beløb til universiteterne som supplement til de offentlige forskningsmidler. </w:t>
            </w:r>
          </w:p>
          <w:p w:rsidR="0070651C" w:rsidRPr="0070651C" w:rsidRDefault="0070651C" w:rsidP="0070651C">
            <w:pPr>
              <w:pStyle w:val="Tabel-BrdtekstmedafstandptekstGaramond"/>
            </w:pPr>
          </w:p>
          <w:p w:rsidR="00B629F5" w:rsidRDefault="0070651C" w:rsidP="00B629F5">
            <w:pPr>
              <w:pStyle w:val="Tabel-BrdtekstmedafstandptekstGaramond"/>
            </w:pPr>
            <w:r w:rsidRPr="0070651C">
              <w:t>Hvis forslaget gennemføres</w:t>
            </w:r>
            <w:r w:rsidR="004A74F8">
              <w:t>,</w:t>
            </w:r>
            <w:r w:rsidRPr="0070651C">
              <w:t xml:space="preserve"> og fondenes nuværende gunstige skatteregler bliver forringet med </w:t>
            </w:r>
            <w:r w:rsidRPr="0070651C">
              <w:lastRenderedPageBreak/>
              <w:t>øget skattebetaling til følge, kan det forventes, at fondene vil d</w:t>
            </w:r>
            <w:r w:rsidRPr="0070651C">
              <w:t>o</w:t>
            </w:r>
            <w:r w:rsidRPr="0070651C">
              <w:t>nere et tilsvarende mindre beløb til forskningen i fremtiden. De</w:t>
            </w:r>
            <w:r w:rsidRPr="0070651C">
              <w:t>r</w:t>
            </w:r>
            <w:r w:rsidRPr="0070651C">
              <w:t>med bringes dansk forskning u</w:t>
            </w:r>
            <w:r w:rsidRPr="0070651C">
              <w:t>n</w:t>
            </w:r>
            <w:r w:rsidRPr="0070651C">
              <w:t>der dobbelt pres</w:t>
            </w:r>
            <w:r w:rsidR="00472AC8">
              <w:t>: I</w:t>
            </w:r>
            <w:r w:rsidRPr="0070651C">
              <w:t>kke blot spares der i forvejen 1,4 mia. kr. på de offentlige forskningsinvesteri</w:t>
            </w:r>
            <w:r w:rsidRPr="0070651C">
              <w:t>n</w:t>
            </w:r>
            <w:r w:rsidRPr="0070651C">
              <w:t>ger, der lægges også med dette lovforslag op til en væsentlig r</w:t>
            </w:r>
            <w:r w:rsidRPr="0070651C">
              <w:t>e</w:t>
            </w:r>
            <w:r w:rsidRPr="0070651C">
              <w:t>duktion i de private fondsdonat</w:t>
            </w:r>
            <w:r w:rsidRPr="0070651C">
              <w:t>i</w:t>
            </w:r>
            <w:r w:rsidRPr="0070651C">
              <w:t xml:space="preserve">oner til forskningen. </w:t>
            </w:r>
          </w:p>
          <w:p w:rsidR="00B629F5" w:rsidRDefault="00B629F5" w:rsidP="00B629F5">
            <w:pPr>
              <w:pStyle w:val="Tabel-BrdtekstmedafstandptekstGaramond"/>
            </w:pPr>
          </w:p>
          <w:p w:rsidR="00D843E5" w:rsidRPr="00B5346F" w:rsidRDefault="0070651C" w:rsidP="00B629F5">
            <w:pPr>
              <w:pStyle w:val="Tabel-BrdtekstmedafstandptekstGaramond"/>
            </w:pPr>
            <w:r w:rsidRPr="0070651C">
              <w:t xml:space="preserve">Akademikerne </w:t>
            </w:r>
            <w:r w:rsidR="00B629F5">
              <w:t>anbefaler</w:t>
            </w:r>
            <w:r w:rsidRPr="0070651C">
              <w:t xml:space="preserve"> i lyset heraf, at lovforslaget ikke ge</w:t>
            </w:r>
            <w:r w:rsidRPr="0070651C">
              <w:t>n</w:t>
            </w:r>
            <w:r w:rsidRPr="0070651C">
              <w:t>nemføres.</w:t>
            </w:r>
          </w:p>
        </w:tc>
        <w:tc>
          <w:tcPr>
            <w:tcW w:w="209" w:type="dxa"/>
            <w:shd w:val="clear" w:color="auto" w:fill="FFFFFF" w:themeFill="background1"/>
          </w:tcPr>
          <w:p w:rsidR="00D843E5" w:rsidRPr="00B5346F" w:rsidRDefault="00D843E5" w:rsidP="00122C71"/>
        </w:tc>
        <w:tc>
          <w:tcPr>
            <w:tcW w:w="3259" w:type="dxa"/>
            <w:tcBorders>
              <w:bottom w:val="single" w:sz="4" w:space="0" w:color="14143C" w:themeColor="accent1"/>
            </w:tcBorders>
            <w:shd w:val="clear" w:color="auto" w:fill="D2CED8"/>
          </w:tcPr>
          <w:p w:rsidR="00D843E5" w:rsidRDefault="004B0431" w:rsidP="00122C71">
            <w:pPr>
              <w:pStyle w:val="Tabel-BrdtekstmedafstandptekstGaramond"/>
            </w:pPr>
            <w:r>
              <w:t>Til det anførte vedrørende skønne</w:t>
            </w:r>
            <w:r w:rsidR="001948A2">
              <w:t>t over</w:t>
            </w:r>
            <w:r>
              <w:t xml:space="preserve"> merprovenu</w:t>
            </w:r>
            <w:r w:rsidR="001948A2">
              <w:t xml:space="preserve">et ved de foreslåede ændringer </w:t>
            </w:r>
            <w:r>
              <w:t>henvises</w:t>
            </w:r>
            <w:r w:rsidR="00A32DE0">
              <w:t xml:space="preserve"> til</w:t>
            </w:r>
            <w:r>
              <w:t xml:space="preserve"> kommentaren til </w:t>
            </w:r>
            <w:r w:rsidRPr="001465F2">
              <w:t>Deloitte, EY, KPMG og PwC</w:t>
            </w:r>
            <w:r>
              <w:t>.</w:t>
            </w:r>
          </w:p>
          <w:p w:rsidR="00A058A7" w:rsidRDefault="00A058A7" w:rsidP="00122C71">
            <w:pPr>
              <w:pStyle w:val="Tabel-BrdtekstmedafstandptekstGaramond"/>
            </w:pPr>
          </w:p>
          <w:p w:rsidR="00A058A7" w:rsidRDefault="00A058A7" w:rsidP="00122C71">
            <w:pPr>
              <w:pStyle w:val="Tabel-BrdtekstmedafstandptekstGaramond"/>
            </w:pPr>
          </w:p>
          <w:p w:rsidR="00A058A7" w:rsidRDefault="00A058A7" w:rsidP="00122C71">
            <w:pPr>
              <w:pStyle w:val="Tabel-BrdtekstmedafstandptekstGaramond"/>
            </w:pPr>
          </w:p>
          <w:p w:rsidR="00A058A7" w:rsidRDefault="00A058A7" w:rsidP="00122C71">
            <w:pPr>
              <w:pStyle w:val="Tabel-BrdtekstmedafstandptekstGaramond"/>
            </w:pPr>
          </w:p>
          <w:p w:rsidR="00A058A7" w:rsidRDefault="00A058A7" w:rsidP="00122C71">
            <w:pPr>
              <w:pStyle w:val="Tabel-BrdtekstmedafstandptekstGaramond"/>
            </w:pPr>
          </w:p>
          <w:p w:rsidR="00A058A7" w:rsidRDefault="00A058A7" w:rsidP="00122C71">
            <w:pPr>
              <w:pStyle w:val="Tabel-BrdtekstmedafstandptekstGaramond"/>
            </w:pPr>
          </w:p>
          <w:p w:rsidR="00A058A7" w:rsidRDefault="00A058A7" w:rsidP="00122C71">
            <w:pPr>
              <w:pStyle w:val="Tabel-BrdtekstmedafstandptekstGaramond"/>
            </w:pPr>
          </w:p>
          <w:p w:rsidR="00A058A7" w:rsidRDefault="00A058A7" w:rsidP="00122C71">
            <w:pPr>
              <w:pStyle w:val="Tabel-BrdtekstmedafstandptekstGaramond"/>
            </w:pPr>
          </w:p>
          <w:p w:rsidR="00A058A7" w:rsidRDefault="00A058A7" w:rsidP="00122C71">
            <w:pPr>
              <w:pStyle w:val="Tabel-BrdtekstmedafstandptekstGaramond"/>
            </w:pPr>
          </w:p>
          <w:p w:rsidR="00A058A7" w:rsidRDefault="00A058A7" w:rsidP="00122C71">
            <w:pPr>
              <w:pStyle w:val="Tabel-BrdtekstmedafstandptekstGaramond"/>
            </w:pPr>
          </w:p>
          <w:p w:rsidR="00A058A7" w:rsidRDefault="00A058A7" w:rsidP="00122C71">
            <w:pPr>
              <w:pStyle w:val="Tabel-BrdtekstmedafstandptekstGaramond"/>
            </w:pPr>
          </w:p>
          <w:p w:rsidR="00A058A7" w:rsidRDefault="00A058A7" w:rsidP="00122C71">
            <w:pPr>
              <w:pStyle w:val="Tabel-BrdtekstmedafstandptekstGaramond"/>
            </w:pPr>
          </w:p>
          <w:p w:rsidR="00A058A7" w:rsidRDefault="00A058A7" w:rsidP="00122C71">
            <w:pPr>
              <w:pStyle w:val="Tabel-BrdtekstmedafstandptekstGaramond"/>
            </w:pPr>
          </w:p>
          <w:p w:rsidR="00A058A7" w:rsidRDefault="00A058A7" w:rsidP="00122C71">
            <w:pPr>
              <w:pStyle w:val="Tabel-BrdtekstmedafstandptekstGaramond"/>
            </w:pPr>
          </w:p>
          <w:p w:rsidR="00A058A7" w:rsidRDefault="00A058A7" w:rsidP="00122C71">
            <w:pPr>
              <w:pStyle w:val="Tabel-BrdtekstmedafstandptekstGaramond"/>
            </w:pPr>
          </w:p>
          <w:p w:rsidR="00883C44" w:rsidRDefault="00883C44" w:rsidP="00883C44">
            <w:pPr>
              <w:pStyle w:val="Tabel-BrdtekstmedafstandptekstGaramond"/>
            </w:pPr>
          </w:p>
          <w:p w:rsidR="00512E3A" w:rsidRDefault="00A058A7" w:rsidP="00883C44">
            <w:pPr>
              <w:pStyle w:val="Tabel-BrdtekstmedafstandptekstGaramond"/>
            </w:pPr>
            <w:r>
              <w:t>Efter de gældende skatteregler har fonde en række gunstige særregler. Fondene har således fradrag for deres almennyttige uddelinger – herunder til fors</w:t>
            </w:r>
            <w:r>
              <w:t>k</w:t>
            </w:r>
            <w:r>
              <w:t>ning og til kultur. Herudover har fondene fradrag for hensættelser til senere almennyttige uddeli</w:t>
            </w:r>
            <w:r>
              <w:t>n</w:t>
            </w:r>
            <w:r>
              <w:t xml:space="preserve">ger. Endelig har fondene fradrag for hensættelser til konsolidering af fondskapitalen. </w:t>
            </w:r>
          </w:p>
          <w:p w:rsidR="00512E3A" w:rsidRDefault="00512E3A" w:rsidP="00883C44">
            <w:pPr>
              <w:pStyle w:val="Tabel-BrdtekstmedafstandptekstGaramond"/>
            </w:pPr>
          </w:p>
          <w:p w:rsidR="00A058A7" w:rsidRDefault="00A058A7" w:rsidP="00883C44">
            <w:pPr>
              <w:pStyle w:val="Tabel-BrdtekstmedafstandptekstGaramond"/>
            </w:pPr>
            <w:r>
              <w:t>Lovforslaget indebærer, at sids</w:t>
            </w:r>
            <w:r>
              <w:t>t</w:t>
            </w:r>
            <w:r>
              <w:t>nævnte konsolideringsfradrag ophæves, mens de andre gunst</w:t>
            </w:r>
            <w:r>
              <w:t>i</w:t>
            </w:r>
            <w:r>
              <w:t xml:space="preserve">ge særregler bibeholdes. Der vil således også fremadrettet være fuldt fradrag for almennyttige </w:t>
            </w:r>
            <w:r>
              <w:lastRenderedPageBreak/>
              <w:t>uddelinger.</w:t>
            </w:r>
          </w:p>
          <w:p w:rsidR="00A058A7" w:rsidRDefault="00A058A7" w:rsidP="00883C44">
            <w:pPr>
              <w:pStyle w:val="Tabel-BrdtekstmedafstandptekstGaramond"/>
            </w:pPr>
          </w:p>
          <w:p w:rsidR="00A058A7" w:rsidRDefault="00A058A7" w:rsidP="00883C44">
            <w:pPr>
              <w:pStyle w:val="Tabel-BrdtekstmedafstandptekstGaramond"/>
            </w:pPr>
            <w:r>
              <w:t>Afskaffelsen af fondenes kons</w:t>
            </w:r>
            <w:r>
              <w:t>o</w:t>
            </w:r>
            <w:r>
              <w:t>lideringsfradrag vil gøre reglerne for fondene lidt mindre gunst</w:t>
            </w:r>
            <w:r>
              <w:t>i</w:t>
            </w:r>
            <w:r>
              <w:t>ge, men vil ikke afgørende fo</w:t>
            </w:r>
            <w:r>
              <w:t>r</w:t>
            </w:r>
            <w:r>
              <w:t xml:space="preserve">hindre fondene i fortsat at støtte almennyttige formål – herunder forsknings- og kulturformål. </w:t>
            </w:r>
          </w:p>
          <w:p w:rsidR="00A058A7" w:rsidRPr="00B5346F" w:rsidRDefault="00A058A7" w:rsidP="00122C71">
            <w:pPr>
              <w:pStyle w:val="Tabel-BrdtekstmedafstandptekstGaramond"/>
            </w:pPr>
          </w:p>
        </w:tc>
      </w:tr>
      <w:tr w:rsidR="00B07859" w:rsidRPr="00B5346F" w:rsidTr="00C87589">
        <w:tc>
          <w:tcPr>
            <w:tcW w:w="2653" w:type="dxa"/>
            <w:tcBorders>
              <w:top w:val="single" w:sz="4" w:space="0" w:color="D1C5C3" w:themeColor="accent3"/>
              <w:bottom w:val="single" w:sz="4" w:space="0" w:color="D1C5C3" w:themeColor="accent3"/>
            </w:tcBorders>
            <w:shd w:val="clear" w:color="auto" w:fill="FBF9F9"/>
          </w:tcPr>
          <w:p w:rsidR="00B07859" w:rsidRDefault="00B07859" w:rsidP="00C0001A">
            <w:pPr>
              <w:pStyle w:val="Tabel-BrdtekstmedafstandptekstGaramond"/>
              <w:rPr>
                <w:i/>
              </w:rPr>
            </w:pPr>
            <w:r>
              <w:rPr>
                <w:i/>
              </w:rPr>
              <w:lastRenderedPageBreak/>
              <w:t>Carlsbergfondet</w:t>
            </w:r>
          </w:p>
        </w:tc>
        <w:tc>
          <w:tcPr>
            <w:tcW w:w="194" w:type="dxa"/>
            <w:shd w:val="clear" w:color="auto" w:fill="FFFFFF" w:themeFill="background1"/>
          </w:tcPr>
          <w:p w:rsidR="00B07859" w:rsidRPr="00B5346F" w:rsidRDefault="00B07859" w:rsidP="00122C71"/>
        </w:tc>
        <w:tc>
          <w:tcPr>
            <w:tcW w:w="3324" w:type="dxa"/>
            <w:tcBorders>
              <w:top w:val="single" w:sz="4" w:space="0" w:color="D1C5C3" w:themeColor="accent3"/>
              <w:bottom w:val="single" w:sz="4" w:space="0" w:color="D1C5C3" w:themeColor="accent3"/>
            </w:tcBorders>
            <w:shd w:val="clear" w:color="auto" w:fill="FBF9F9"/>
          </w:tcPr>
          <w:p w:rsidR="00841169" w:rsidRPr="00841169" w:rsidRDefault="00A32DE0" w:rsidP="00841169">
            <w:pPr>
              <w:pStyle w:val="Tabel-BrdtekstmedafstandptekstGaramond"/>
            </w:pPr>
            <w:r>
              <w:t>Carlsbergfondet anfører, at d</w:t>
            </w:r>
            <w:r w:rsidR="00841169" w:rsidRPr="00841169">
              <w:t>e erhvervsdrivende fonde spiller en helt afgørende rolle i det danske samfund. Gennem deres vir</w:t>
            </w:r>
            <w:r w:rsidR="00841169" w:rsidRPr="00841169">
              <w:t>k</w:t>
            </w:r>
            <w:r w:rsidR="00841169" w:rsidRPr="00841169">
              <w:t>somheder skaber disse fonde m</w:t>
            </w:r>
            <w:r w:rsidR="00841169" w:rsidRPr="00841169">
              <w:t>e</w:t>
            </w:r>
            <w:r w:rsidR="00841169" w:rsidRPr="00841169">
              <w:t xml:space="preserve">re end 5 </w:t>
            </w:r>
            <w:r w:rsidR="00841169">
              <w:t>pct.</w:t>
            </w:r>
            <w:r w:rsidR="00841169" w:rsidRPr="00841169">
              <w:t xml:space="preserve"> af den danske b</w:t>
            </w:r>
            <w:r w:rsidR="00841169" w:rsidRPr="00841169">
              <w:t>e</w:t>
            </w:r>
            <w:r w:rsidR="00841169" w:rsidRPr="00841169">
              <w:t xml:space="preserve">skæftigelse, mere end 10 </w:t>
            </w:r>
            <w:r w:rsidR="00841169">
              <w:t>pct.</w:t>
            </w:r>
            <w:r w:rsidR="00841169" w:rsidRPr="00841169">
              <w:t xml:space="preserve"> af værditilvæksten og de finansierer ca. 5 </w:t>
            </w:r>
            <w:r w:rsidR="00841169">
              <w:t>pct.</w:t>
            </w:r>
            <w:r w:rsidR="00841169" w:rsidRPr="00841169">
              <w:t xml:space="preserve"> af den danske fors</w:t>
            </w:r>
            <w:r w:rsidR="00841169" w:rsidRPr="00841169">
              <w:t>k</w:t>
            </w:r>
            <w:r w:rsidR="00841169" w:rsidRPr="00841169">
              <w:t>ningsindsats.</w:t>
            </w:r>
            <w:r w:rsidR="00841169">
              <w:t xml:space="preserve"> </w:t>
            </w:r>
            <w:r w:rsidR="00841169" w:rsidRPr="00841169">
              <w:t>Med den baggrund har Carlsbergfondet tilsluttet sig det fælles høringssvar fra en ræ</w:t>
            </w:r>
            <w:r w:rsidR="00841169" w:rsidRPr="00841169">
              <w:t>k</w:t>
            </w:r>
            <w:r w:rsidR="00841169" w:rsidRPr="00841169">
              <w:t>ke større fonde.</w:t>
            </w:r>
          </w:p>
          <w:p w:rsidR="00841169" w:rsidRDefault="00841169" w:rsidP="00841169">
            <w:pPr>
              <w:pStyle w:val="Tabel-BrdtekstmedafstandptekstGaramond"/>
            </w:pPr>
          </w:p>
          <w:p w:rsidR="0003629D" w:rsidRDefault="00841169" w:rsidP="0003629D">
            <w:pPr>
              <w:pStyle w:val="Tabel-BrdtekstmedafstandptekstGaramond"/>
            </w:pPr>
            <w:r>
              <w:t>Det påpeges, at lovforslagets ikrafttrædelsesbestemmelse ind</w:t>
            </w:r>
            <w:r>
              <w:t>e</w:t>
            </w:r>
            <w:r>
              <w:t>bærer en urimelig forskelsb</w:t>
            </w:r>
            <w:r>
              <w:t>e</w:t>
            </w:r>
            <w:r>
              <w:t>handling af fonde.</w:t>
            </w:r>
            <w:r w:rsidR="0003629D">
              <w:t xml:space="preserve"> Således vil </w:t>
            </w:r>
            <w:r w:rsidR="0003629D" w:rsidRPr="0003629D">
              <w:t>fonde blive behandlet forskelligt med hensyn til anvendelsen af konsolideringsfradraget a</w:t>
            </w:r>
            <w:r w:rsidR="0003629D" w:rsidRPr="0003629D">
              <w:t>f</w:t>
            </w:r>
            <w:r w:rsidR="0003629D" w:rsidRPr="0003629D">
              <w:t>hængigt af bevillingspraksis. Nogle fonde behandler ansø</w:t>
            </w:r>
            <w:r w:rsidR="0003629D" w:rsidRPr="0003629D">
              <w:t>g</w:t>
            </w:r>
            <w:r w:rsidR="0003629D" w:rsidRPr="0003629D">
              <w:t>ninger løbende gennem året, mens andre fonde har en ansø</w:t>
            </w:r>
            <w:r w:rsidR="0003629D" w:rsidRPr="0003629D">
              <w:t>g</w:t>
            </w:r>
            <w:r w:rsidR="0003629D" w:rsidRPr="0003629D">
              <w:t xml:space="preserve">ningstermin, der kan falde på et </w:t>
            </w:r>
            <w:r w:rsidR="0003629D" w:rsidRPr="0003629D">
              <w:lastRenderedPageBreak/>
              <w:t>hvilket som helst tidspunkt inden for året.</w:t>
            </w:r>
          </w:p>
          <w:p w:rsidR="00F56089" w:rsidRDefault="00F56089" w:rsidP="0003629D">
            <w:pPr>
              <w:pStyle w:val="Tabel-BrdtekstmedafstandptekstGaramond"/>
            </w:pPr>
          </w:p>
          <w:p w:rsidR="00F56089" w:rsidRDefault="00F56089" w:rsidP="0003629D">
            <w:pPr>
              <w:pStyle w:val="Tabel-BrdtekstmedafstandptekstGaramond"/>
            </w:pPr>
            <w:r>
              <w:t>Hvis</w:t>
            </w:r>
            <w:r w:rsidRPr="00F56089">
              <w:t xml:space="preserve"> ansøgningsterminen falder efter den 19. november 2015, kan situationen være den, at </w:t>
            </w:r>
            <w:r w:rsidR="00683C33">
              <w:t>en</w:t>
            </w:r>
            <w:r w:rsidRPr="00F56089">
              <w:t xml:space="preserve"> fond slet ikke har foretaget bevillinger inden skæringsdatoen. Kons</w:t>
            </w:r>
            <w:r w:rsidRPr="00F56089">
              <w:t>e</w:t>
            </w:r>
            <w:r w:rsidRPr="00F56089">
              <w:t>kvensen heraf vil være, at kons</w:t>
            </w:r>
            <w:r w:rsidRPr="00F56089">
              <w:t>o</w:t>
            </w:r>
            <w:r w:rsidRPr="00F56089">
              <w:t>lideringsfradraget de facto vil bortfalde også for indkomståret 2015. Det har næppe været he</w:t>
            </w:r>
            <w:r w:rsidRPr="00F56089">
              <w:t>n</w:t>
            </w:r>
            <w:r w:rsidRPr="00F56089">
              <w:t>sigten med lovforslaget at skabe en så tilfældig forskelsbehandling af fondene.</w:t>
            </w:r>
          </w:p>
          <w:p w:rsidR="00A47285" w:rsidRPr="00A47285" w:rsidRDefault="00A47285" w:rsidP="00A47285">
            <w:pPr>
              <w:pStyle w:val="Tabel-BrdtekstmedafstandptekstGaramond"/>
            </w:pPr>
          </w:p>
          <w:p w:rsidR="00A47285" w:rsidRPr="00A47285" w:rsidRDefault="00A47285" w:rsidP="00A47285">
            <w:pPr>
              <w:pStyle w:val="Tabel-BrdtekstmedafstandptekstGaramond"/>
            </w:pPr>
            <w:r w:rsidRPr="00A47285">
              <w:t>En løsning på den forhåbentlig utilsigtede effekt af ikrafttræde</w:t>
            </w:r>
            <w:r w:rsidRPr="00A47285">
              <w:t>l</w:t>
            </w:r>
            <w:r w:rsidRPr="00A47285">
              <w:t xml:space="preserve">sesbestemmelserne kunne være, at fonde kan vælge </w:t>
            </w:r>
            <w:r w:rsidRPr="00A47285">
              <w:rPr>
                <w:u w:val="single"/>
              </w:rPr>
              <w:t>enten</w:t>
            </w:r>
            <w:r w:rsidRPr="00A47285">
              <w:t xml:space="preserve"> at b</w:t>
            </w:r>
            <w:r w:rsidRPr="00A47285">
              <w:t>e</w:t>
            </w:r>
            <w:r w:rsidRPr="00A47285">
              <w:t xml:space="preserve">regne konsolideringsfradraget på basis af uddelinger foretaget til og med den 19. november 2015 </w:t>
            </w:r>
            <w:r w:rsidRPr="0067684A">
              <w:rPr>
                <w:u w:val="single"/>
              </w:rPr>
              <w:t>eller</w:t>
            </w:r>
            <w:r w:rsidRPr="0067684A">
              <w:t xml:space="preserve"> </w:t>
            </w:r>
            <w:r w:rsidRPr="00A47285">
              <w:t>at opgøre konsolideringsfr</w:t>
            </w:r>
            <w:r w:rsidRPr="00A47285">
              <w:t>a</w:t>
            </w:r>
            <w:r w:rsidRPr="00A47285">
              <w:t>draget på basis af 323/365-dele af uddelingerne i indkomståret 201</w:t>
            </w:r>
            <w:r w:rsidR="0067684A">
              <w:t>4</w:t>
            </w:r>
            <w:r w:rsidRPr="00A47285">
              <w:t xml:space="preserve"> (323/365-dele er den del af indkomståret 2015, der er forl</w:t>
            </w:r>
            <w:r w:rsidRPr="00A47285">
              <w:t>ø</w:t>
            </w:r>
            <w:r w:rsidRPr="00A47285">
              <w:t>bet frem til datoen for lovforsl</w:t>
            </w:r>
            <w:r w:rsidRPr="00A47285">
              <w:t>a</w:t>
            </w:r>
            <w:r w:rsidRPr="00A47285">
              <w:t>gets fremsættel</w:t>
            </w:r>
            <w:r>
              <w:t>se</w:t>
            </w:r>
            <w:r w:rsidRPr="00A47285">
              <w:t>)</w:t>
            </w:r>
            <w:r>
              <w:t>.</w:t>
            </w:r>
          </w:p>
          <w:p w:rsidR="00A47285" w:rsidRPr="00A47285" w:rsidRDefault="00A47285" w:rsidP="00A47285">
            <w:pPr>
              <w:pStyle w:val="Tabel-BrdtekstmedafstandptekstGaramond"/>
            </w:pPr>
          </w:p>
          <w:p w:rsidR="00B07859" w:rsidRPr="00B5346F" w:rsidRDefault="00A47285" w:rsidP="003D6AA9">
            <w:pPr>
              <w:pStyle w:val="Tabel-BrdtekstmedafstandptekstGaramond"/>
            </w:pPr>
            <w:r w:rsidRPr="00A47285">
              <w:t>En sådan tilføjelse til lovforslaget vil ikke kollidere med hensynet til, at fonde ikke vil skulle have mulighed for at forøge konsol</w:t>
            </w:r>
            <w:r w:rsidRPr="00A47285">
              <w:t>i</w:t>
            </w:r>
            <w:r w:rsidRPr="00A47285">
              <w:t>deringsfradraget for indkomståret 2015 gennem uddelinger foret</w:t>
            </w:r>
            <w:r w:rsidRPr="00A47285">
              <w:t>a</w:t>
            </w:r>
            <w:r w:rsidRPr="00A47285">
              <w:t>get efter den 19. november 2015.</w:t>
            </w:r>
          </w:p>
        </w:tc>
        <w:tc>
          <w:tcPr>
            <w:tcW w:w="209" w:type="dxa"/>
            <w:shd w:val="clear" w:color="auto" w:fill="FFFFFF" w:themeFill="background1"/>
          </w:tcPr>
          <w:p w:rsidR="00B07859" w:rsidRPr="00B5346F" w:rsidRDefault="00B07859" w:rsidP="00122C71"/>
        </w:tc>
        <w:tc>
          <w:tcPr>
            <w:tcW w:w="3259" w:type="dxa"/>
            <w:tcBorders>
              <w:top w:val="single" w:sz="4" w:space="0" w:color="14143C" w:themeColor="accent1"/>
              <w:bottom w:val="single" w:sz="4" w:space="0" w:color="14143C" w:themeColor="accent1"/>
            </w:tcBorders>
            <w:shd w:val="clear" w:color="auto" w:fill="D2CED8"/>
          </w:tcPr>
          <w:p w:rsidR="00B07859" w:rsidRDefault="00B07859" w:rsidP="00122C71">
            <w:pPr>
              <w:pStyle w:val="Tabel-BrdtekstmedafstandptekstGaramond"/>
            </w:pPr>
          </w:p>
          <w:p w:rsidR="00833B4F" w:rsidRDefault="00833B4F" w:rsidP="00122C71">
            <w:pPr>
              <w:pStyle w:val="Tabel-BrdtekstmedafstandptekstGaramond"/>
            </w:pPr>
          </w:p>
          <w:p w:rsidR="00833B4F" w:rsidRDefault="00833B4F" w:rsidP="00122C71">
            <w:pPr>
              <w:pStyle w:val="Tabel-BrdtekstmedafstandptekstGaramond"/>
            </w:pPr>
          </w:p>
          <w:p w:rsidR="00833B4F" w:rsidRDefault="00833B4F" w:rsidP="00122C71">
            <w:pPr>
              <w:pStyle w:val="Tabel-BrdtekstmedafstandptekstGaramond"/>
            </w:pPr>
          </w:p>
          <w:p w:rsidR="00833B4F" w:rsidRDefault="00833B4F" w:rsidP="00122C71">
            <w:pPr>
              <w:pStyle w:val="Tabel-BrdtekstmedafstandptekstGaramond"/>
            </w:pPr>
          </w:p>
          <w:p w:rsidR="00833B4F" w:rsidRDefault="00833B4F" w:rsidP="00122C71">
            <w:pPr>
              <w:pStyle w:val="Tabel-BrdtekstmedafstandptekstGaramond"/>
            </w:pPr>
          </w:p>
          <w:p w:rsidR="00833B4F" w:rsidRDefault="00833B4F" w:rsidP="00122C71">
            <w:pPr>
              <w:pStyle w:val="Tabel-BrdtekstmedafstandptekstGaramond"/>
            </w:pPr>
          </w:p>
          <w:p w:rsidR="00833B4F" w:rsidRDefault="00833B4F" w:rsidP="00122C71">
            <w:pPr>
              <w:pStyle w:val="Tabel-BrdtekstmedafstandptekstGaramond"/>
            </w:pPr>
          </w:p>
          <w:p w:rsidR="00833B4F" w:rsidRDefault="00833B4F" w:rsidP="00122C71">
            <w:pPr>
              <w:pStyle w:val="Tabel-BrdtekstmedafstandptekstGaramond"/>
            </w:pPr>
          </w:p>
          <w:p w:rsidR="00833B4F" w:rsidRDefault="00833B4F" w:rsidP="00122C71">
            <w:pPr>
              <w:pStyle w:val="Tabel-BrdtekstmedafstandptekstGaramond"/>
            </w:pPr>
          </w:p>
          <w:p w:rsidR="00833B4F" w:rsidRDefault="00833B4F" w:rsidP="00122C71">
            <w:pPr>
              <w:pStyle w:val="Tabel-BrdtekstmedafstandptekstGaramond"/>
            </w:pPr>
          </w:p>
          <w:p w:rsidR="00833B4F" w:rsidRDefault="00833B4F" w:rsidP="00122C71">
            <w:pPr>
              <w:pStyle w:val="Tabel-BrdtekstmedafstandptekstGaramond"/>
            </w:pPr>
          </w:p>
          <w:p w:rsidR="00833B4F" w:rsidRDefault="00833B4F" w:rsidP="00122C71">
            <w:pPr>
              <w:pStyle w:val="Tabel-BrdtekstmedafstandptekstGaramond"/>
            </w:pPr>
          </w:p>
          <w:p w:rsidR="00F14E60" w:rsidRDefault="00F14E60" w:rsidP="002963C0">
            <w:pPr>
              <w:pStyle w:val="Tabel-BrdtekstmedafstandptekstGaramond"/>
            </w:pPr>
          </w:p>
          <w:p w:rsidR="002963C0" w:rsidRDefault="001C4C7A" w:rsidP="002963C0">
            <w:pPr>
              <w:pStyle w:val="Tabel-BrdtekstmedafstandptekstGaramond"/>
            </w:pPr>
            <w:r>
              <w:t xml:space="preserve">Regeringen </w:t>
            </w:r>
            <w:r w:rsidR="002963C0">
              <w:t>vil til 2. behandli</w:t>
            </w:r>
            <w:r w:rsidR="002963C0">
              <w:t>n</w:t>
            </w:r>
            <w:r w:rsidR="002963C0">
              <w:t xml:space="preserve">gen af lovforslaget </w:t>
            </w:r>
            <w:r>
              <w:t>stille</w:t>
            </w:r>
            <w:r w:rsidR="00707567">
              <w:t xml:space="preserve"> et </w:t>
            </w:r>
            <w:r w:rsidR="002963C0">
              <w:t>æ</w:t>
            </w:r>
            <w:r w:rsidR="002963C0">
              <w:t>n</w:t>
            </w:r>
            <w:r w:rsidR="002963C0">
              <w:t xml:space="preserve">dringsforslag </w:t>
            </w:r>
            <w:r w:rsidR="002963C0" w:rsidRPr="002963C0">
              <w:t>vedrørende forsl</w:t>
            </w:r>
            <w:r w:rsidR="002963C0" w:rsidRPr="002963C0">
              <w:t>a</w:t>
            </w:r>
            <w:r w:rsidR="002963C0" w:rsidRPr="002963C0">
              <w:t>get til virkningstidspunkt for ophævelsen af konsolidering</w:t>
            </w:r>
            <w:r w:rsidR="002963C0" w:rsidRPr="002963C0">
              <w:t>s</w:t>
            </w:r>
            <w:r w:rsidR="002963C0" w:rsidRPr="002963C0">
              <w:t xml:space="preserve">reglen. </w:t>
            </w:r>
            <w:r w:rsidR="004635A5">
              <w:t>Ændringsforslaget</w:t>
            </w:r>
            <w:r w:rsidR="0014195B">
              <w:t>, som er efterspurgt af Carlsbergfo</w:t>
            </w:r>
            <w:r w:rsidR="0014195B">
              <w:t>n</w:t>
            </w:r>
            <w:r w:rsidR="0014195B">
              <w:t>det,</w:t>
            </w:r>
            <w:r w:rsidR="004635A5">
              <w:t xml:space="preserve"> vil betyde, at </w:t>
            </w:r>
            <w:r w:rsidR="004635A5" w:rsidRPr="004635A5">
              <w:t>fonde i in</w:t>
            </w:r>
            <w:r w:rsidR="004635A5" w:rsidRPr="004635A5">
              <w:t>d</w:t>
            </w:r>
            <w:r w:rsidR="004635A5" w:rsidRPr="004635A5">
              <w:t>komståret 2015 under alle o</w:t>
            </w:r>
            <w:r w:rsidR="004635A5" w:rsidRPr="004635A5">
              <w:t>m</w:t>
            </w:r>
            <w:r w:rsidR="004635A5" w:rsidRPr="004635A5">
              <w:t xml:space="preserve">stændigheder kan </w:t>
            </w:r>
            <w:r w:rsidR="006472E9">
              <w:t>beregne</w:t>
            </w:r>
            <w:r w:rsidR="004635A5" w:rsidRPr="004635A5">
              <w:t xml:space="preserve"> ko</w:t>
            </w:r>
            <w:r w:rsidR="004635A5" w:rsidRPr="004635A5">
              <w:t>n</w:t>
            </w:r>
            <w:r w:rsidR="004635A5" w:rsidRPr="004635A5">
              <w:t>solideringsfradrag</w:t>
            </w:r>
            <w:r w:rsidR="006472E9">
              <w:t xml:space="preserve">et på basis af </w:t>
            </w:r>
            <w:r w:rsidR="004635A5">
              <w:t xml:space="preserve">en forholdsmæssig del af </w:t>
            </w:r>
            <w:r w:rsidR="004635A5" w:rsidRPr="004635A5">
              <w:t>udd</w:t>
            </w:r>
            <w:r w:rsidR="004635A5" w:rsidRPr="004635A5">
              <w:t>e</w:t>
            </w:r>
            <w:r w:rsidR="004635A5" w:rsidRPr="004635A5">
              <w:lastRenderedPageBreak/>
              <w:t>lingsniveauet i 2014.</w:t>
            </w:r>
          </w:p>
          <w:p w:rsidR="002963C0" w:rsidRDefault="002963C0" w:rsidP="002963C0">
            <w:pPr>
              <w:pStyle w:val="Tabel-BrdtekstmedafstandptekstGaramond"/>
            </w:pPr>
          </w:p>
          <w:p w:rsidR="002963C0" w:rsidRPr="00B5346F" w:rsidRDefault="002963C0" w:rsidP="002963C0">
            <w:pPr>
              <w:pStyle w:val="Tabel-BrdtekstmedafstandptekstGaramond"/>
            </w:pPr>
          </w:p>
        </w:tc>
      </w:tr>
      <w:tr w:rsidR="009A36E0" w:rsidRPr="00B5346F" w:rsidTr="00C87589">
        <w:tc>
          <w:tcPr>
            <w:tcW w:w="2653" w:type="dxa"/>
            <w:tcBorders>
              <w:top w:val="single" w:sz="4" w:space="0" w:color="D1C5C3" w:themeColor="accent3"/>
              <w:bottom w:val="single" w:sz="4" w:space="0" w:color="D1C5C3" w:themeColor="accent3"/>
            </w:tcBorders>
            <w:shd w:val="clear" w:color="auto" w:fill="FBF9F9"/>
          </w:tcPr>
          <w:p w:rsidR="00C0001A" w:rsidRPr="00600E3E" w:rsidRDefault="001566DD" w:rsidP="00C0001A">
            <w:pPr>
              <w:pStyle w:val="Tabel-BrdtekstmedafstandptekstGaramond"/>
              <w:rPr>
                <w:i/>
              </w:rPr>
            </w:pPr>
            <w:r>
              <w:rPr>
                <w:i/>
              </w:rPr>
              <w:lastRenderedPageBreak/>
              <w:t>CEPOS</w:t>
            </w:r>
          </w:p>
        </w:tc>
        <w:tc>
          <w:tcPr>
            <w:tcW w:w="194" w:type="dxa"/>
            <w:shd w:val="clear" w:color="auto" w:fill="FFFFFF" w:themeFill="background1"/>
          </w:tcPr>
          <w:p w:rsidR="00C0001A" w:rsidRPr="00B5346F" w:rsidRDefault="00C0001A" w:rsidP="00122C71"/>
        </w:tc>
        <w:tc>
          <w:tcPr>
            <w:tcW w:w="3324" w:type="dxa"/>
            <w:tcBorders>
              <w:top w:val="single" w:sz="4" w:space="0" w:color="D1C5C3" w:themeColor="accent3"/>
              <w:bottom w:val="single" w:sz="4" w:space="0" w:color="D1C5C3" w:themeColor="accent3"/>
            </w:tcBorders>
            <w:shd w:val="clear" w:color="auto" w:fill="FBF9F9"/>
          </w:tcPr>
          <w:p w:rsidR="001B5BE3" w:rsidRPr="001B5BE3" w:rsidRDefault="00852F37" w:rsidP="001B5BE3">
            <w:pPr>
              <w:pStyle w:val="Tabel-BrdtekstmedafstandptekstGaramond"/>
              <w:rPr>
                <w:iCs/>
              </w:rPr>
            </w:pPr>
            <w:r>
              <w:rPr>
                <w:iCs/>
              </w:rPr>
              <w:t xml:space="preserve">CEPOS finder det </w:t>
            </w:r>
            <w:r w:rsidR="001B5BE3" w:rsidRPr="001B5BE3">
              <w:rPr>
                <w:iCs/>
              </w:rPr>
              <w:t>problematisk, at man med en høringsfrist på kun syv dage vil ændre den eks</w:t>
            </w:r>
            <w:r w:rsidR="001B5BE3" w:rsidRPr="001B5BE3">
              <w:rPr>
                <w:iCs/>
              </w:rPr>
              <w:t>i</w:t>
            </w:r>
            <w:r w:rsidR="001B5BE3" w:rsidRPr="001B5BE3">
              <w:rPr>
                <w:iCs/>
              </w:rPr>
              <w:t xml:space="preserve">sterende </w:t>
            </w:r>
            <w:r>
              <w:rPr>
                <w:iCs/>
              </w:rPr>
              <w:t>f</w:t>
            </w:r>
            <w:r w:rsidR="001B5BE3" w:rsidRPr="001B5BE3">
              <w:rPr>
                <w:iCs/>
              </w:rPr>
              <w:t xml:space="preserve">ondsbeskatningslov, </w:t>
            </w:r>
            <w:r>
              <w:rPr>
                <w:iCs/>
              </w:rPr>
              <w:lastRenderedPageBreak/>
              <w:t>der</w:t>
            </w:r>
            <w:r w:rsidR="001B5BE3" w:rsidRPr="001B5BE3">
              <w:rPr>
                <w:iCs/>
              </w:rPr>
              <w:t xml:space="preserve"> blev indført i 1985 efter et større og gennemtænkt udvalg</w:t>
            </w:r>
            <w:r w:rsidR="001B5BE3" w:rsidRPr="001B5BE3">
              <w:rPr>
                <w:iCs/>
              </w:rPr>
              <w:t>s</w:t>
            </w:r>
            <w:r w:rsidR="001B5BE3" w:rsidRPr="001B5BE3">
              <w:rPr>
                <w:iCs/>
              </w:rPr>
              <w:t>arbejde. Det kan skabe en bere</w:t>
            </w:r>
            <w:r w:rsidR="001B5BE3" w:rsidRPr="001B5BE3">
              <w:rPr>
                <w:iCs/>
              </w:rPr>
              <w:t>t</w:t>
            </w:r>
            <w:r w:rsidR="001B5BE3" w:rsidRPr="001B5BE3">
              <w:rPr>
                <w:iCs/>
              </w:rPr>
              <w:t>tiget mistillid til reglernes stabil</w:t>
            </w:r>
            <w:r w:rsidR="001B5BE3" w:rsidRPr="001B5BE3">
              <w:rPr>
                <w:iCs/>
              </w:rPr>
              <w:t>i</w:t>
            </w:r>
            <w:r w:rsidR="001B5BE3" w:rsidRPr="001B5BE3">
              <w:rPr>
                <w:iCs/>
              </w:rPr>
              <w:t xml:space="preserve">tet, </w:t>
            </w:r>
            <w:r>
              <w:rPr>
                <w:iCs/>
              </w:rPr>
              <w:t>når</w:t>
            </w:r>
            <w:r w:rsidR="001B5BE3" w:rsidRPr="001B5BE3">
              <w:rPr>
                <w:iCs/>
              </w:rPr>
              <w:t xml:space="preserve"> </w:t>
            </w:r>
            <w:r>
              <w:rPr>
                <w:iCs/>
              </w:rPr>
              <w:t>lovforslaget</w:t>
            </w:r>
            <w:r w:rsidR="001B5BE3" w:rsidRPr="001B5BE3">
              <w:rPr>
                <w:iCs/>
              </w:rPr>
              <w:t xml:space="preserve"> – hvis </w:t>
            </w:r>
            <w:r>
              <w:rPr>
                <w:iCs/>
              </w:rPr>
              <w:t xml:space="preserve">det </w:t>
            </w:r>
            <w:r w:rsidR="001B5BE3" w:rsidRPr="001B5BE3">
              <w:rPr>
                <w:iCs/>
              </w:rPr>
              <w:t>vedtages i sin nuværende form – kan vise sig at være i strid med regeringens overordnede målsæ</w:t>
            </w:r>
            <w:r w:rsidR="001B5BE3" w:rsidRPr="001B5BE3">
              <w:rPr>
                <w:iCs/>
              </w:rPr>
              <w:t>t</w:t>
            </w:r>
            <w:r w:rsidR="001B5BE3" w:rsidRPr="001B5BE3">
              <w:rPr>
                <w:iCs/>
              </w:rPr>
              <w:t>ning om at få flere erhvervsdr</w:t>
            </w:r>
            <w:r w:rsidR="001B5BE3" w:rsidRPr="001B5BE3">
              <w:rPr>
                <w:iCs/>
              </w:rPr>
              <w:t>i</w:t>
            </w:r>
            <w:r w:rsidR="001B5BE3" w:rsidRPr="001B5BE3">
              <w:rPr>
                <w:iCs/>
              </w:rPr>
              <w:t>vende fonde. Det kan således v</w:t>
            </w:r>
            <w:r w:rsidR="001B5BE3" w:rsidRPr="001B5BE3">
              <w:rPr>
                <w:iCs/>
              </w:rPr>
              <w:t>æ</w:t>
            </w:r>
            <w:r w:rsidR="001B5BE3" w:rsidRPr="001B5BE3">
              <w:rPr>
                <w:iCs/>
              </w:rPr>
              <w:t>re svært at se hensigtsmæssigh</w:t>
            </w:r>
            <w:r w:rsidR="001B5BE3" w:rsidRPr="001B5BE3">
              <w:rPr>
                <w:iCs/>
              </w:rPr>
              <w:t>e</w:t>
            </w:r>
            <w:r w:rsidR="001B5BE3" w:rsidRPr="001B5BE3">
              <w:rPr>
                <w:iCs/>
              </w:rPr>
              <w:t>den i at overdrage sin virkso</w:t>
            </w:r>
            <w:r w:rsidR="001B5BE3" w:rsidRPr="001B5BE3">
              <w:rPr>
                <w:iCs/>
              </w:rPr>
              <w:t>m</w:t>
            </w:r>
            <w:r w:rsidR="001B5BE3" w:rsidRPr="001B5BE3">
              <w:rPr>
                <w:iCs/>
              </w:rPr>
              <w:t>hed til en fond, som ikke er u</w:t>
            </w:r>
            <w:r w:rsidR="001B5BE3" w:rsidRPr="001B5BE3">
              <w:rPr>
                <w:iCs/>
              </w:rPr>
              <w:t>n</w:t>
            </w:r>
            <w:r w:rsidR="001B5BE3" w:rsidRPr="001B5BE3">
              <w:rPr>
                <w:iCs/>
              </w:rPr>
              <w:t xml:space="preserve">derlagt et stabilt og forudsigeligt skatteregime. </w:t>
            </w:r>
          </w:p>
          <w:p w:rsidR="001B5BE3" w:rsidRPr="001B5BE3" w:rsidRDefault="001B5BE3" w:rsidP="001B5BE3">
            <w:pPr>
              <w:pStyle w:val="Tabel-BrdtekstmedafstandptekstGaramond"/>
              <w:rPr>
                <w:iCs/>
              </w:rPr>
            </w:pPr>
          </w:p>
          <w:p w:rsidR="00852F37" w:rsidRDefault="001B5BE3" w:rsidP="001B5BE3">
            <w:pPr>
              <w:pStyle w:val="Tabel-BrdtekstmedafstandptekstGaramond"/>
              <w:rPr>
                <w:iCs/>
              </w:rPr>
            </w:pPr>
            <w:r w:rsidRPr="001B5BE3">
              <w:rPr>
                <w:iCs/>
              </w:rPr>
              <w:t>Hvis private skal have</w:t>
            </w:r>
            <w:r w:rsidR="00852F37">
              <w:rPr>
                <w:iCs/>
              </w:rPr>
              <w:t xml:space="preserve"> et</w:t>
            </w:r>
            <w:r w:rsidRPr="001B5BE3">
              <w:rPr>
                <w:iCs/>
              </w:rPr>
              <w:t xml:space="preserve"> incit</w:t>
            </w:r>
            <w:r w:rsidRPr="001B5BE3">
              <w:rPr>
                <w:iCs/>
              </w:rPr>
              <w:t>a</w:t>
            </w:r>
            <w:r w:rsidRPr="001B5BE3">
              <w:rPr>
                <w:iCs/>
              </w:rPr>
              <w:t xml:space="preserve">ment til at donere deres formuer til almennyttige formål, kræver det sikkerhed for, at pengene vil blive anvendt efter hensigten. Den tillid risikerer regeringen og de øvrige borgerlige partier at smide over bord, hvis de i en forhastet proces vedtager </w:t>
            </w:r>
            <w:r w:rsidR="00852F37">
              <w:rPr>
                <w:iCs/>
              </w:rPr>
              <w:t>lo</w:t>
            </w:r>
            <w:r w:rsidR="00852F37">
              <w:rPr>
                <w:iCs/>
              </w:rPr>
              <w:t>v</w:t>
            </w:r>
            <w:r w:rsidR="00852F37">
              <w:rPr>
                <w:iCs/>
              </w:rPr>
              <w:t>forslaget</w:t>
            </w:r>
            <w:r w:rsidRPr="001B5BE3">
              <w:rPr>
                <w:iCs/>
              </w:rPr>
              <w:t xml:space="preserve">. </w:t>
            </w:r>
          </w:p>
          <w:p w:rsidR="00852F37" w:rsidRDefault="00852F37" w:rsidP="001B5BE3">
            <w:pPr>
              <w:pStyle w:val="Tabel-BrdtekstmedafstandptekstGaramond"/>
              <w:rPr>
                <w:iCs/>
              </w:rPr>
            </w:pPr>
          </w:p>
          <w:p w:rsidR="001B5BE3" w:rsidRPr="001B5BE3" w:rsidRDefault="001B5BE3" w:rsidP="001B5BE3">
            <w:pPr>
              <w:pStyle w:val="Tabel-BrdtekstmedafstandptekstGaramond"/>
              <w:rPr>
                <w:iCs/>
              </w:rPr>
            </w:pPr>
            <w:r w:rsidRPr="001B5BE3">
              <w:rPr>
                <w:iCs/>
              </w:rPr>
              <w:t xml:space="preserve">Samtidig skaber </w:t>
            </w:r>
            <w:r w:rsidR="00852F37">
              <w:rPr>
                <w:iCs/>
              </w:rPr>
              <w:t xml:space="preserve">lovforslagets </w:t>
            </w:r>
            <w:r w:rsidRPr="001B5BE3">
              <w:rPr>
                <w:iCs/>
              </w:rPr>
              <w:t xml:space="preserve">brud med </w:t>
            </w:r>
            <w:r w:rsidR="00852F37">
              <w:rPr>
                <w:iCs/>
              </w:rPr>
              <w:t xml:space="preserve">regeringens </w:t>
            </w:r>
            <w:r w:rsidRPr="001B5BE3">
              <w:rPr>
                <w:iCs/>
              </w:rPr>
              <w:t>skatte- og byrdestop usikkerhed langt uden for fondslovgivningens område.</w:t>
            </w:r>
          </w:p>
          <w:p w:rsidR="001B5BE3" w:rsidRPr="001B5BE3" w:rsidRDefault="001B5BE3" w:rsidP="001B5BE3">
            <w:pPr>
              <w:pStyle w:val="Tabel-BrdtekstmedafstandptekstGaramond"/>
              <w:rPr>
                <w:iCs/>
              </w:rPr>
            </w:pPr>
          </w:p>
          <w:p w:rsidR="001B5BE3" w:rsidRPr="001B5BE3" w:rsidRDefault="001B5BE3" w:rsidP="001B5BE3">
            <w:pPr>
              <w:pStyle w:val="Tabel-BrdtekstmedafstandptekstGaramond"/>
              <w:rPr>
                <w:iCs/>
              </w:rPr>
            </w:pPr>
            <w:r w:rsidRPr="001B5BE3">
              <w:rPr>
                <w:iCs/>
              </w:rPr>
              <w:t xml:space="preserve">At forslaget derudover hastes igennem på et tidspunkt, hvor </w:t>
            </w:r>
            <w:r w:rsidR="00CA79BF">
              <w:rPr>
                <w:iCs/>
              </w:rPr>
              <w:t>regeringens e</w:t>
            </w:r>
            <w:r w:rsidRPr="001B5BE3">
              <w:rPr>
                <w:iCs/>
              </w:rPr>
              <w:t>rhvervsbeskatning</w:t>
            </w:r>
            <w:r w:rsidRPr="001B5BE3">
              <w:rPr>
                <w:iCs/>
              </w:rPr>
              <w:t>s</w:t>
            </w:r>
            <w:r w:rsidRPr="001B5BE3">
              <w:rPr>
                <w:iCs/>
              </w:rPr>
              <w:t>udvalg – som skal komme med forslag til mere neutrale skatt</w:t>
            </w:r>
            <w:r w:rsidRPr="001B5BE3">
              <w:rPr>
                <w:iCs/>
              </w:rPr>
              <w:t>e</w:t>
            </w:r>
            <w:r w:rsidRPr="001B5BE3">
              <w:rPr>
                <w:iCs/>
              </w:rPr>
              <w:t xml:space="preserve">regler </w:t>
            </w:r>
            <w:r w:rsidR="00852F37">
              <w:rPr>
                <w:iCs/>
              </w:rPr>
              <w:t>for</w:t>
            </w:r>
            <w:r w:rsidRPr="001B5BE3">
              <w:rPr>
                <w:iCs/>
              </w:rPr>
              <w:t xml:space="preserve"> forskellige ejerskab</w:t>
            </w:r>
            <w:r w:rsidRPr="001B5BE3">
              <w:rPr>
                <w:iCs/>
              </w:rPr>
              <w:t>s</w:t>
            </w:r>
            <w:r w:rsidRPr="001B5BE3">
              <w:rPr>
                <w:iCs/>
              </w:rPr>
              <w:t xml:space="preserve">former </w:t>
            </w:r>
            <w:r w:rsidR="00852F37">
              <w:rPr>
                <w:iCs/>
              </w:rPr>
              <w:t>–</w:t>
            </w:r>
            <w:r w:rsidRPr="001B5BE3">
              <w:rPr>
                <w:iCs/>
              </w:rPr>
              <w:t xml:space="preserve"> e</w:t>
            </w:r>
            <w:r w:rsidR="00852F37">
              <w:rPr>
                <w:iCs/>
              </w:rPr>
              <w:t>n</w:t>
            </w:r>
            <w:r w:rsidRPr="001B5BE3">
              <w:rPr>
                <w:iCs/>
              </w:rPr>
              <w:t>dnu ikke har afsluttet sit arbejde, forekommer uige</w:t>
            </w:r>
            <w:r w:rsidRPr="001B5BE3">
              <w:rPr>
                <w:iCs/>
              </w:rPr>
              <w:t>n</w:t>
            </w:r>
            <w:r w:rsidRPr="001B5BE3">
              <w:rPr>
                <w:iCs/>
              </w:rPr>
              <w:t>nemtænkt og</w:t>
            </w:r>
            <w:r w:rsidR="00CA79BF">
              <w:rPr>
                <w:iCs/>
              </w:rPr>
              <w:t xml:space="preserve"> er</w:t>
            </w:r>
            <w:r w:rsidRPr="001B5BE3">
              <w:rPr>
                <w:iCs/>
              </w:rPr>
              <w:t xml:space="preserve"> ikke hensigt</w:t>
            </w:r>
            <w:r w:rsidRPr="001B5BE3">
              <w:rPr>
                <w:iCs/>
              </w:rPr>
              <w:t>s</w:t>
            </w:r>
            <w:r w:rsidRPr="001B5BE3">
              <w:rPr>
                <w:iCs/>
              </w:rPr>
              <w:t xml:space="preserve">mæssigt. </w:t>
            </w:r>
          </w:p>
          <w:p w:rsidR="004D794A" w:rsidRDefault="004D794A" w:rsidP="001B5BE3">
            <w:pPr>
              <w:pStyle w:val="Tabel-BrdtekstmedafstandptekstGaramond"/>
              <w:rPr>
                <w:iCs/>
              </w:rPr>
            </w:pPr>
          </w:p>
          <w:p w:rsidR="001B5BE3" w:rsidRPr="001B5BE3" w:rsidRDefault="004D794A" w:rsidP="001B5BE3">
            <w:pPr>
              <w:pStyle w:val="Tabel-BrdtekstmedafstandptekstGaramond"/>
              <w:rPr>
                <w:iCs/>
              </w:rPr>
            </w:pPr>
            <w:r>
              <w:rPr>
                <w:iCs/>
              </w:rPr>
              <w:t>C</w:t>
            </w:r>
            <w:r w:rsidR="00C20104">
              <w:rPr>
                <w:iCs/>
              </w:rPr>
              <w:t>EPOS anbefaler nærmere, at</w:t>
            </w:r>
            <w:r w:rsidR="001B5BE3" w:rsidRPr="001B5BE3">
              <w:rPr>
                <w:iCs/>
              </w:rPr>
              <w:t>:</w:t>
            </w:r>
          </w:p>
          <w:p w:rsidR="001B5BE3" w:rsidRPr="001B5BE3" w:rsidRDefault="001B5BE3" w:rsidP="001B5BE3">
            <w:pPr>
              <w:pStyle w:val="Tabel-BrdtekstmedafstandptekstGaramond"/>
              <w:rPr>
                <w:iCs/>
              </w:rPr>
            </w:pPr>
          </w:p>
          <w:p w:rsidR="001B5BE3" w:rsidRPr="001B5BE3" w:rsidRDefault="00C20104" w:rsidP="001B5BE3">
            <w:pPr>
              <w:pStyle w:val="Tabel-BrdtekstmedafstandptekstGaramond"/>
              <w:numPr>
                <w:ilvl w:val="0"/>
                <w:numId w:val="15"/>
              </w:numPr>
              <w:rPr>
                <w:iCs/>
              </w:rPr>
            </w:pPr>
            <w:r>
              <w:rPr>
                <w:iCs/>
              </w:rPr>
              <w:t>Regeringen stopper</w:t>
            </w:r>
            <w:r w:rsidR="001B5BE3" w:rsidRPr="001B5BE3">
              <w:rPr>
                <w:iCs/>
              </w:rPr>
              <w:t xml:space="preserve"> al pla</w:t>
            </w:r>
            <w:r w:rsidR="001B5BE3" w:rsidRPr="001B5BE3">
              <w:rPr>
                <w:iCs/>
              </w:rPr>
              <w:t>n</w:t>
            </w:r>
            <w:r w:rsidR="001B5BE3" w:rsidRPr="001B5BE3">
              <w:rPr>
                <w:iCs/>
              </w:rPr>
              <w:t>lagt ny lovgivning om fonde</w:t>
            </w:r>
            <w:r>
              <w:rPr>
                <w:iCs/>
              </w:rPr>
              <w:t xml:space="preserve"> – </w:t>
            </w:r>
            <w:r w:rsidRPr="001B5BE3">
              <w:rPr>
                <w:iCs/>
              </w:rPr>
              <w:t>både det annoncerede lo</w:t>
            </w:r>
            <w:r w:rsidRPr="001B5BE3">
              <w:rPr>
                <w:iCs/>
              </w:rPr>
              <w:t>v</w:t>
            </w:r>
            <w:r w:rsidRPr="001B5BE3">
              <w:rPr>
                <w:iCs/>
              </w:rPr>
              <w:t>forslag om skattemæssig su</w:t>
            </w:r>
            <w:r w:rsidRPr="001B5BE3">
              <w:rPr>
                <w:iCs/>
              </w:rPr>
              <w:t>c</w:t>
            </w:r>
            <w:r w:rsidRPr="001B5BE3">
              <w:rPr>
                <w:iCs/>
              </w:rPr>
              <w:t>cession ved overdragelse til fond</w:t>
            </w:r>
            <w:r>
              <w:rPr>
                <w:iCs/>
              </w:rPr>
              <w:t>e</w:t>
            </w:r>
            <w:r w:rsidRPr="001B5BE3">
              <w:rPr>
                <w:iCs/>
              </w:rPr>
              <w:t xml:space="preserve"> og </w:t>
            </w:r>
            <w:r>
              <w:rPr>
                <w:iCs/>
              </w:rPr>
              <w:t>nærværende lo</w:t>
            </w:r>
            <w:r>
              <w:rPr>
                <w:iCs/>
              </w:rPr>
              <w:t>v</w:t>
            </w:r>
            <w:r>
              <w:rPr>
                <w:iCs/>
              </w:rPr>
              <w:t xml:space="preserve">forslag </w:t>
            </w:r>
            <w:r w:rsidR="00F463C0">
              <w:rPr>
                <w:iCs/>
              </w:rPr>
              <w:t>–</w:t>
            </w:r>
            <w:r>
              <w:rPr>
                <w:iCs/>
              </w:rPr>
              <w:t xml:space="preserve"> og at der </w:t>
            </w:r>
            <w:r w:rsidR="001B5BE3" w:rsidRPr="001B5BE3">
              <w:rPr>
                <w:iCs/>
              </w:rPr>
              <w:t>i stedet nedsætte</w:t>
            </w:r>
            <w:r>
              <w:rPr>
                <w:iCs/>
              </w:rPr>
              <w:t>s</w:t>
            </w:r>
            <w:r w:rsidR="001B5BE3" w:rsidRPr="001B5BE3">
              <w:rPr>
                <w:iCs/>
              </w:rPr>
              <w:t xml:space="preserve"> en kommission, som skal undersøge de dire</w:t>
            </w:r>
            <w:r w:rsidR="001B5BE3" w:rsidRPr="001B5BE3">
              <w:rPr>
                <w:iCs/>
              </w:rPr>
              <w:t>k</w:t>
            </w:r>
            <w:r w:rsidR="001B5BE3" w:rsidRPr="001B5BE3">
              <w:rPr>
                <w:iCs/>
              </w:rPr>
              <w:t>te og indirekte samfund</w:t>
            </w:r>
            <w:r w:rsidR="001B5BE3" w:rsidRPr="001B5BE3">
              <w:rPr>
                <w:iCs/>
              </w:rPr>
              <w:t>s</w:t>
            </w:r>
            <w:r w:rsidR="001B5BE3" w:rsidRPr="001B5BE3">
              <w:rPr>
                <w:iCs/>
              </w:rPr>
              <w:t>mæssige og samfundsøk</w:t>
            </w:r>
            <w:r w:rsidR="001B5BE3" w:rsidRPr="001B5BE3">
              <w:rPr>
                <w:iCs/>
              </w:rPr>
              <w:t>o</w:t>
            </w:r>
            <w:r w:rsidR="001B5BE3" w:rsidRPr="001B5BE3">
              <w:rPr>
                <w:iCs/>
              </w:rPr>
              <w:t>nomiske gevinster ved velg</w:t>
            </w:r>
            <w:r w:rsidR="001B5BE3" w:rsidRPr="001B5BE3">
              <w:rPr>
                <w:iCs/>
              </w:rPr>
              <w:t>ø</w:t>
            </w:r>
            <w:r w:rsidR="001B5BE3" w:rsidRPr="001B5BE3">
              <w:rPr>
                <w:iCs/>
              </w:rPr>
              <w:t>rende institutioner.</w:t>
            </w:r>
          </w:p>
          <w:p w:rsidR="001B5BE3" w:rsidRPr="001B5BE3" w:rsidRDefault="001B5BE3" w:rsidP="001B5BE3">
            <w:pPr>
              <w:pStyle w:val="Tabel-BrdtekstmedafstandptekstGaramond"/>
              <w:rPr>
                <w:iCs/>
              </w:rPr>
            </w:pPr>
          </w:p>
          <w:p w:rsidR="00C20104" w:rsidRPr="00C20104" w:rsidRDefault="00C20104" w:rsidP="00C20104">
            <w:pPr>
              <w:pStyle w:val="Tabel-BrdtekstmedafstandptekstGaramond"/>
              <w:numPr>
                <w:ilvl w:val="0"/>
                <w:numId w:val="15"/>
              </w:numPr>
              <w:rPr>
                <w:iCs/>
              </w:rPr>
            </w:pPr>
            <w:r w:rsidRPr="00C20104">
              <w:rPr>
                <w:iCs/>
              </w:rPr>
              <w:t>T</w:t>
            </w:r>
            <w:r w:rsidR="001B5BE3" w:rsidRPr="00C20104">
              <w:rPr>
                <w:iCs/>
              </w:rPr>
              <w:t>ransparensreglen og kons</w:t>
            </w:r>
            <w:r w:rsidR="001B5BE3" w:rsidRPr="00C20104">
              <w:rPr>
                <w:iCs/>
              </w:rPr>
              <w:t>o</w:t>
            </w:r>
            <w:r w:rsidR="001B5BE3" w:rsidRPr="00C20104">
              <w:rPr>
                <w:iCs/>
              </w:rPr>
              <w:t>liderings</w:t>
            </w:r>
            <w:r w:rsidRPr="00C20104">
              <w:rPr>
                <w:iCs/>
              </w:rPr>
              <w:t>fradraget bevare</w:t>
            </w:r>
            <w:r>
              <w:rPr>
                <w:iCs/>
              </w:rPr>
              <w:t>s</w:t>
            </w:r>
            <w:r w:rsidRPr="00C20104">
              <w:rPr>
                <w:iCs/>
              </w:rPr>
              <w:t xml:space="preserve"> uændret</w:t>
            </w:r>
            <w:r>
              <w:rPr>
                <w:iCs/>
              </w:rPr>
              <w:t xml:space="preserve">. En </w:t>
            </w:r>
            <w:r w:rsidR="001B5BE3" w:rsidRPr="00C20104">
              <w:rPr>
                <w:iCs/>
              </w:rPr>
              <w:t>eventuel æ</w:t>
            </w:r>
            <w:r w:rsidR="001B5BE3" w:rsidRPr="00C20104">
              <w:rPr>
                <w:iCs/>
              </w:rPr>
              <w:t>n</w:t>
            </w:r>
            <w:r w:rsidR="001B5BE3" w:rsidRPr="00C20104">
              <w:rPr>
                <w:iCs/>
              </w:rPr>
              <w:t xml:space="preserve">dring eller ophævelse </w:t>
            </w:r>
            <w:r>
              <w:rPr>
                <w:iCs/>
              </w:rPr>
              <w:t xml:space="preserve">bør </w:t>
            </w:r>
            <w:r w:rsidR="001B5BE3" w:rsidRPr="00C20104">
              <w:rPr>
                <w:iCs/>
              </w:rPr>
              <w:t>i</w:t>
            </w:r>
            <w:r w:rsidR="001B5BE3" w:rsidRPr="00C20104">
              <w:rPr>
                <w:iCs/>
              </w:rPr>
              <w:t>k</w:t>
            </w:r>
            <w:r w:rsidR="001B5BE3" w:rsidRPr="00C20104">
              <w:rPr>
                <w:iCs/>
              </w:rPr>
              <w:t xml:space="preserve">ke ske på et uigennemtænkt og forhastet grundlag, men bør afvente kommissionens arbejde. </w:t>
            </w:r>
          </w:p>
          <w:p w:rsidR="00C20104" w:rsidRPr="00C20104" w:rsidRDefault="00C20104" w:rsidP="00C20104">
            <w:pPr>
              <w:pStyle w:val="Tabel-BrdtekstmedafstandptekstGaramond"/>
              <w:ind w:left="720"/>
              <w:rPr>
                <w:iCs/>
              </w:rPr>
            </w:pPr>
          </w:p>
          <w:p w:rsidR="001B5BE3" w:rsidRPr="001B5BE3" w:rsidRDefault="001B5BE3" w:rsidP="001B5BE3">
            <w:pPr>
              <w:pStyle w:val="Tabel-BrdtekstmedafstandptekstGaramond"/>
              <w:numPr>
                <w:ilvl w:val="0"/>
                <w:numId w:val="15"/>
              </w:numPr>
              <w:rPr>
                <w:iCs/>
              </w:rPr>
            </w:pPr>
            <w:r w:rsidRPr="001B5BE3">
              <w:rPr>
                <w:iCs/>
              </w:rPr>
              <w:t>Der gennemføres en generel og dermed neutral nedsætte</w:t>
            </w:r>
            <w:r w:rsidRPr="001B5BE3">
              <w:rPr>
                <w:iCs/>
              </w:rPr>
              <w:t>l</w:t>
            </w:r>
            <w:r w:rsidRPr="001B5BE3">
              <w:rPr>
                <w:iCs/>
              </w:rPr>
              <w:t xml:space="preserve">se af arveafgiften fra 15 </w:t>
            </w:r>
            <w:r w:rsidR="00C20104">
              <w:rPr>
                <w:iCs/>
              </w:rPr>
              <w:t xml:space="preserve">pct. </w:t>
            </w:r>
            <w:r w:rsidRPr="001B5BE3">
              <w:rPr>
                <w:iCs/>
              </w:rPr>
              <w:t>til 5 pct. for alle med vir</w:t>
            </w:r>
            <w:r w:rsidRPr="001B5BE3">
              <w:rPr>
                <w:iCs/>
              </w:rPr>
              <w:t>k</w:t>
            </w:r>
            <w:r w:rsidRPr="001B5BE3">
              <w:rPr>
                <w:iCs/>
              </w:rPr>
              <w:t xml:space="preserve">ning fra 2020. </w:t>
            </w:r>
          </w:p>
          <w:p w:rsidR="001B5BE3" w:rsidRDefault="001B5BE3" w:rsidP="00A32DE0">
            <w:pPr>
              <w:pStyle w:val="Listeafsnit"/>
              <w:numPr>
                <w:ilvl w:val="0"/>
                <w:numId w:val="17"/>
              </w:numPr>
              <w:ind w:left="511"/>
            </w:pPr>
            <w:r w:rsidRPr="00C20104">
              <w:t>Øvrige ændringer på erhverv</w:t>
            </w:r>
            <w:r w:rsidRPr="00C20104">
              <w:t>s</w:t>
            </w:r>
            <w:r w:rsidRPr="00C20104">
              <w:t>beskatningsområdet afventer Erhvervsbeskatningsudvalget</w:t>
            </w:r>
            <w:r w:rsidR="00C20104" w:rsidRPr="00C20104">
              <w:t>s anbefalinger</w:t>
            </w:r>
            <w:r w:rsidRPr="00C20104">
              <w:t>.</w:t>
            </w:r>
          </w:p>
          <w:p w:rsidR="00A32DE0" w:rsidRPr="00342243" w:rsidRDefault="00A32DE0" w:rsidP="00A32DE0">
            <w:pPr>
              <w:pStyle w:val="Listeafsnit"/>
              <w:ind w:left="511"/>
            </w:pPr>
          </w:p>
        </w:tc>
        <w:tc>
          <w:tcPr>
            <w:tcW w:w="209" w:type="dxa"/>
            <w:shd w:val="clear" w:color="auto" w:fill="FFFFFF" w:themeFill="background1"/>
          </w:tcPr>
          <w:p w:rsidR="00C0001A" w:rsidRPr="00B5346F" w:rsidRDefault="00C0001A" w:rsidP="00122C71"/>
        </w:tc>
        <w:tc>
          <w:tcPr>
            <w:tcW w:w="3259" w:type="dxa"/>
            <w:tcBorders>
              <w:top w:val="single" w:sz="4" w:space="0" w:color="14143C" w:themeColor="accent1"/>
              <w:bottom w:val="single" w:sz="4" w:space="0" w:color="14143C" w:themeColor="accent1"/>
            </w:tcBorders>
            <w:shd w:val="clear" w:color="auto" w:fill="D2CED8"/>
          </w:tcPr>
          <w:p w:rsidR="0041181A" w:rsidRDefault="0041181A" w:rsidP="009D4F1E">
            <w:pPr>
              <w:pStyle w:val="Tabel-BrdtekstmedafstandptekstGaramond"/>
              <w:rPr>
                <w:rFonts w:cs="Garamond"/>
                <w:color w:val="000000"/>
                <w:szCs w:val="22"/>
              </w:rPr>
            </w:pPr>
            <w:r>
              <w:rPr>
                <w:rFonts w:cs="Garamond"/>
                <w:color w:val="000000"/>
                <w:szCs w:val="22"/>
              </w:rPr>
              <w:t xml:space="preserve">Det bemærkes, at lovforslaget som fremsat indebærer en </w:t>
            </w:r>
            <w:r w:rsidRPr="0041181A">
              <w:rPr>
                <w:rFonts w:cs="Garamond"/>
                <w:color w:val="000000"/>
                <w:szCs w:val="22"/>
              </w:rPr>
              <w:t>o</w:t>
            </w:r>
            <w:r w:rsidRPr="0041181A">
              <w:rPr>
                <w:rFonts w:cs="Garamond"/>
                <w:color w:val="000000"/>
                <w:szCs w:val="22"/>
              </w:rPr>
              <w:t>p</w:t>
            </w:r>
            <w:r w:rsidRPr="0041181A">
              <w:rPr>
                <w:rFonts w:cs="Garamond"/>
                <w:color w:val="000000"/>
                <w:szCs w:val="22"/>
              </w:rPr>
              <w:t>hævelse af to af de gunstige sæ</w:t>
            </w:r>
            <w:r w:rsidRPr="0041181A">
              <w:rPr>
                <w:rFonts w:cs="Garamond"/>
                <w:color w:val="000000"/>
                <w:szCs w:val="22"/>
              </w:rPr>
              <w:t>r</w:t>
            </w:r>
            <w:r w:rsidRPr="0041181A">
              <w:rPr>
                <w:rFonts w:cs="Garamond"/>
                <w:color w:val="000000"/>
                <w:szCs w:val="22"/>
              </w:rPr>
              <w:t xml:space="preserve">regler, der i dag gælder for fonde </w:t>
            </w:r>
            <w:r w:rsidRPr="0041181A">
              <w:rPr>
                <w:rFonts w:cs="Garamond"/>
                <w:color w:val="000000"/>
                <w:szCs w:val="22"/>
              </w:rPr>
              <w:lastRenderedPageBreak/>
              <w:t>og visse foreninger.</w:t>
            </w:r>
          </w:p>
          <w:p w:rsidR="0041181A" w:rsidRDefault="0041181A" w:rsidP="009D4F1E">
            <w:pPr>
              <w:pStyle w:val="Tabel-BrdtekstmedafstandptekstGaramond"/>
              <w:rPr>
                <w:rFonts w:cs="Garamond"/>
                <w:color w:val="000000"/>
                <w:szCs w:val="22"/>
              </w:rPr>
            </w:pPr>
          </w:p>
          <w:p w:rsidR="0041181A" w:rsidRDefault="0041181A" w:rsidP="0041181A">
            <w:pPr>
              <w:pStyle w:val="Tabel-BrdtekstmedafstandptekstGaramond"/>
              <w:rPr>
                <w:rFonts w:cs="Garamond"/>
                <w:color w:val="000000"/>
                <w:szCs w:val="22"/>
              </w:rPr>
            </w:pPr>
            <w:r w:rsidRPr="0041181A">
              <w:rPr>
                <w:rFonts w:cs="Garamond"/>
                <w:color w:val="000000"/>
                <w:szCs w:val="22"/>
              </w:rPr>
              <w:t xml:space="preserve">Det </w:t>
            </w:r>
            <w:r>
              <w:rPr>
                <w:rFonts w:cs="Garamond"/>
                <w:color w:val="000000"/>
                <w:szCs w:val="22"/>
              </w:rPr>
              <w:t>bemærkes også</w:t>
            </w:r>
            <w:r w:rsidRPr="0041181A">
              <w:rPr>
                <w:rFonts w:cs="Garamond"/>
                <w:color w:val="000000"/>
                <w:szCs w:val="22"/>
              </w:rPr>
              <w:t>, at lo</w:t>
            </w:r>
            <w:r w:rsidRPr="0041181A">
              <w:rPr>
                <w:rFonts w:cs="Garamond"/>
                <w:color w:val="000000"/>
                <w:szCs w:val="22"/>
              </w:rPr>
              <w:t>v</w:t>
            </w:r>
            <w:r w:rsidRPr="0041181A">
              <w:rPr>
                <w:rFonts w:cs="Garamond"/>
                <w:color w:val="000000"/>
                <w:szCs w:val="22"/>
              </w:rPr>
              <w:t>forslaget ikke ændrer grundlæ</w:t>
            </w:r>
            <w:r w:rsidRPr="0041181A">
              <w:rPr>
                <w:rFonts w:cs="Garamond"/>
                <w:color w:val="000000"/>
                <w:szCs w:val="22"/>
              </w:rPr>
              <w:t>g</w:t>
            </w:r>
            <w:r w:rsidRPr="0041181A">
              <w:rPr>
                <w:rFonts w:cs="Garamond"/>
                <w:color w:val="000000"/>
                <w:szCs w:val="22"/>
              </w:rPr>
              <w:t>gende på fondsbeskatningen e</w:t>
            </w:r>
            <w:r w:rsidRPr="0041181A">
              <w:rPr>
                <w:rFonts w:cs="Garamond"/>
                <w:color w:val="000000"/>
                <w:szCs w:val="22"/>
              </w:rPr>
              <w:t>l</w:t>
            </w:r>
            <w:r w:rsidRPr="0041181A">
              <w:rPr>
                <w:rFonts w:cs="Garamond"/>
                <w:color w:val="000000"/>
                <w:szCs w:val="22"/>
              </w:rPr>
              <w:t>ler på dens funktion og virk</w:t>
            </w:r>
            <w:r w:rsidRPr="0041181A">
              <w:rPr>
                <w:rFonts w:cs="Garamond"/>
                <w:color w:val="000000"/>
                <w:szCs w:val="22"/>
              </w:rPr>
              <w:t>e</w:t>
            </w:r>
            <w:r w:rsidRPr="0041181A">
              <w:rPr>
                <w:rFonts w:cs="Garamond"/>
                <w:color w:val="000000"/>
                <w:szCs w:val="22"/>
              </w:rPr>
              <w:t xml:space="preserve">måde. Fonde vil således fortsat kunne varetage deres vigtige samfundsmæssige funktioner og </w:t>
            </w:r>
            <w:r>
              <w:rPr>
                <w:rFonts w:cs="Garamond"/>
                <w:color w:val="000000"/>
                <w:szCs w:val="22"/>
              </w:rPr>
              <w:t xml:space="preserve">kunne </w:t>
            </w:r>
            <w:r w:rsidRPr="0041181A">
              <w:rPr>
                <w:rFonts w:cs="Garamond"/>
                <w:color w:val="000000"/>
                <w:szCs w:val="22"/>
              </w:rPr>
              <w:t>fradrag</w:t>
            </w:r>
            <w:r>
              <w:rPr>
                <w:rFonts w:cs="Garamond"/>
                <w:color w:val="000000"/>
                <w:szCs w:val="22"/>
              </w:rPr>
              <w:t>e</w:t>
            </w:r>
            <w:r w:rsidRPr="0041181A">
              <w:rPr>
                <w:rFonts w:cs="Garamond"/>
                <w:color w:val="000000"/>
                <w:szCs w:val="22"/>
              </w:rPr>
              <w:t xml:space="preserve"> de beløb, der uddeles</w:t>
            </w:r>
            <w:r>
              <w:rPr>
                <w:rFonts w:cs="Garamond"/>
                <w:color w:val="000000"/>
                <w:szCs w:val="22"/>
              </w:rPr>
              <w:t xml:space="preserve"> eller hensættes</w:t>
            </w:r>
            <w:r w:rsidRPr="0041181A">
              <w:rPr>
                <w:rFonts w:cs="Garamond"/>
                <w:color w:val="000000"/>
                <w:szCs w:val="22"/>
              </w:rPr>
              <w:t xml:space="preserve"> til a</w:t>
            </w:r>
            <w:r w:rsidRPr="0041181A">
              <w:rPr>
                <w:rFonts w:cs="Garamond"/>
                <w:color w:val="000000"/>
                <w:szCs w:val="22"/>
              </w:rPr>
              <w:t>l</w:t>
            </w:r>
            <w:r w:rsidRPr="0041181A">
              <w:rPr>
                <w:rFonts w:cs="Garamond"/>
                <w:color w:val="000000"/>
                <w:szCs w:val="22"/>
              </w:rPr>
              <w:t>mennyttige formål. Skatteregle</w:t>
            </w:r>
            <w:r w:rsidRPr="0041181A">
              <w:rPr>
                <w:rFonts w:cs="Garamond"/>
                <w:color w:val="000000"/>
                <w:szCs w:val="22"/>
              </w:rPr>
              <w:t>r</w:t>
            </w:r>
            <w:r w:rsidRPr="0041181A">
              <w:rPr>
                <w:rFonts w:cs="Garamond"/>
                <w:color w:val="000000"/>
                <w:szCs w:val="22"/>
              </w:rPr>
              <w:t>ne for fonde vil altså også fre</w:t>
            </w:r>
            <w:r w:rsidRPr="0041181A">
              <w:rPr>
                <w:rFonts w:cs="Garamond"/>
                <w:color w:val="000000"/>
                <w:szCs w:val="22"/>
              </w:rPr>
              <w:t>m</w:t>
            </w:r>
            <w:r w:rsidRPr="0041181A">
              <w:rPr>
                <w:rFonts w:cs="Garamond"/>
                <w:color w:val="000000"/>
                <w:szCs w:val="22"/>
              </w:rPr>
              <w:t>over være lempelige.</w:t>
            </w:r>
          </w:p>
          <w:p w:rsidR="006B725E" w:rsidRDefault="006B725E" w:rsidP="0041181A">
            <w:pPr>
              <w:pStyle w:val="Tabel-BrdtekstmedafstandptekstGaramond"/>
              <w:rPr>
                <w:rFonts w:cs="Garamond"/>
                <w:color w:val="000000"/>
                <w:szCs w:val="22"/>
              </w:rPr>
            </w:pPr>
          </w:p>
          <w:p w:rsidR="0041181A" w:rsidRDefault="006B725E" w:rsidP="0041181A">
            <w:pPr>
              <w:pStyle w:val="Tabel-BrdtekstmedafstandptekstGaramond"/>
            </w:pPr>
            <w:r>
              <w:rPr>
                <w:rFonts w:cs="Garamond"/>
                <w:color w:val="000000"/>
                <w:szCs w:val="22"/>
              </w:rPr>
              <w:t xml:space="preserve">Der henvises i øvrigt til </w:t>
            </w:r>
            <w:r>
              <w:t>ko</w:t>
            </w:r>
            <w:r>
              <w:t>m</w:t>
            </w:r>
            <w:r>
              <w:t xml:space="preserve">mentaren til </w:t>
            </w:r>
            <w:r w:rsidR="00B15E0C">
              <w:t xml:space="preserve">bl.a. </w:t>
            </w:r>
            <w:r w:rsidRPr="001465F2">
              <w:t>Deloitte, EY, KPMG og PwC</w:t>
            </w:r>
            <w:r>
              <w:rPr>
                <w:rFonts w:cs="Garamond"/>
                <w:color w:val="000000"/>
                <w:szCs w:val="22"/>
              </w:rPr>
              <w:t>, hvor det er b</w:t>
            </w:r>
            <w:r>
              <w:rPr>
                <w:rFonts w:cs="Garamond"/>
                <w:color w:val="000000"/>
                <w:szCs w:val="22"/>
              </w:rPr>
              <w:t>e</w:t>
            </w:r>
            <w:r>
              <w:rPr>
                <w:rFonts w:cs="Garamond"/>
                <w:color w:val="000000"/>
                <w:szCs w:val="22"/>
              </w:rPr>
              <w:t xml:space="preserve">skrevet, at </w:t>
            </w:r>
            <w:r w:rsidR="006D65F9">
              <w:rPr>
                <w:rFonts w:cs="Garamond"/>
                <w:color w:val="000000"/>
                <w:szCs w:val="22"/>
              </w:rPr>
              <w:t xml:space="preserve">der vil bliver </w:t>
            </w:r>
            <w:r w:rsidR="006D65F9">
              <w:t>stillet et ændr</w:t>
            </w:r>
            <w:r>
              <w:t xml:space="preserve">ingsforslag </w:t>
            </w:r>
            <w:r w:rsidRPr="001465F2">
              <w:t>om, at den for</w:t>
            </w:r>
            <w:r w:rsidRPr="001465F2">
              <w:t>e</w:t>
            </w:r>
            <w:r w:rsidRPr="001465F2">
              <w:t>slåede ophævelse af overførsel</w:t>
            </w:r>
            <w:r w:rsidRPr="001465F2">
              <w:t>s</w:t>
            </w:r>
            <w:r w:rsidRPr="001465F2">
              <w:t>reglen udgår af forslaget</w:t>
            </w:r>
            <w:r>
              <w:t xml:space="preserve">. </w:t>
            </w:r>
          </w:p>
          <w:p w:rsidR="0041181A" w:rsidRDefault="0041181A" w:rsidP="0041181A">
            <w:pPr>
              <w:pStyle w:val="Tabel-BrdtekstmedafstandptekstGaramond"/>
              <w:rPr>
                <w:rFonts w:cs="Garamond"/>
                <w:color w:val="000000"/>
                <w:szCs w:val="22"/>
              </w:rPr>
            </w:pPr>
          </w:p>
          <w:p w:rsidR="0041181A" w:rsidRDefault="0041181A" w:rsidP="009D4F1E">
            <w:pPr>
              <w:pStyle w:val="Tabel-BrdtekstmedafstandptekstGaramond"/>
              <w:rPr>
                <w:rFonts w:cs="Garamond"/>
                <w:color w:val="000000"/>
                <w:szCs w:val="22"/>
              </w:rPr>
            </w:pPr>
            <w:r>
              <w:rPr>
                <w:rFonts w:cs="Garamond"/>
                <w:color w:val="000000"/>
                <w:szCs w:val="22"/>
              </w:rPr>
              <w:t>Til det anførte om den forkort</w:t>
            </w:r>
            <w:r>
              <w:rPr>
                <w:rFonts w:cs="Garamond"/>
                <w:color w:val="000000"/>
                <w:szCs w:val="22"/>
              </w:rPr>
              <w:t>e</w:t>
            </w:r>
            <w:r>
              <w:rPr>
                <w:rFonts w:cs="Garamond"/>
                <w:color w:val="000000"/>
                <w:szCs w:val="22"/>
              </w:rPr>
              <w:t xml:space="preserve">de høringsfrist bemærkes, </w:t>
            </w:r>
            <w:r w:rsidR="00413DDC">
              <w:rPr>
                <w:rFonts w:cs="Garamond"/>
                <w:color w:val="000000"/>
                <w:szCs w:val="22"/>
              </w:rPr>
              <w:t xml:space="preserve">at </w:t>
            </w:r>
            <w:r w:rsidR="00413DDC" w:rsidRPr="00413DDC">
              <w:rPr>
                <w:rFonts w:cs="Garamond"/>
                <w:color w:val="000000"/>
                <w:szCs w:val="22"/>
              </w:rPr>
              <w:t>lo</w:t>
            </w:r>
            <w:r w:rsidR="00413DDC" w:rsidRPr="00413DDC">
              <w:rPr>
                <w:rFonts w:cs="Garamond"/>
                <w:color w:val="000000"/>
                <w:szCs w:val="22"/>
              </w:rPr>
              <w:t>v</w:t>
            </w:r>
            <w:r w:rsidR="00413DDC" w:rsidRPr="00413DDC">
              <w:rPr>
                <w:rFonts w:cs="Garamond"/>
                <w:color w:val="000000"/>
                <w:szCs w:val="22"/>
              </w:rPr>
              <w:t>forslaget er en del af aftalen om finansloven for 2016, der er in</w:t>
            </w:r>
            <w:r w:rsidR="00413DDC" w:rsidRPr="00413DDC">
              <w:rPr>
                <w:rFonts w:cs="Garamond"/>
                <w:color w:val="000000"/>
                <w:szCs w:val="22"/>
              </w:rPr>
              <w:t>d</w:t>
            </w:r>
            <w:r w:rsidR="00413DDC">
              <w:rPr>
                <w:rFonts w:cs="Garamond"/>
                <w:color w:val="000000"/>
                <w:szCs w:val="22"/>
              </w:rPr>
              <w:t>gået den 19. no</w:t>
            </w:r>
            <w:r w:rsidR="00413DDC" w:rsidRPr="00413DDC">
              <w:rPr>
                <w:rFonts w:cs="Garamond"/>
                <w:color w:val="000000"/>
                <w:szCs w:val="22"/>
              </w:rPr>
              <w:t>vember 2015</w:t>
            </w:r>
            <w:r w:rsidR="00413DDC">
              <w:rPr>
                <w:rFonts w:cs="Garamond"/>
                <w:color w:val="000000"/>
                <w:szCs w:val="22"/>
              </w:rPr>
              <w:t xml:space="preserve">. Det har derfor </w:t>
            </w:r>
            <w:r w:rsidR="00413DDC" w:rsidRPr="00413DDC">
              <w:rPr>
                <w:rFonts w:cs="Garamond"/>
                <w:color w:val="000000"/>
                <w:szCs w:val="22"/>
              </w:rPr>
              <w:t>ikke været muligt at sende lovforslaget i høring i</w:t>
            </w:r>
            <w:r w:rsidR="00413DDC" w:rsidRPr="00413DDC">
              <w:rPr>
                <w:rFonts w:cs="Garamond"/>
                <w:color w:val="000000"/>
                <w:szCs w:val="22"/>
              </w:rPr>
              <w:t>n</w:t>
            </w:r>
            <w:r w:rsidR="00413DDC" w:rsidRPr="00413DDC">
              <w:rPr>
                <w:rFonts w:cs="Garamond"/>
                <w:color w:val="000000"/>
                <w:szCs w:val="22"/>
              </w:rPr>
              <w:t>den fremsættelsen</w:t>
            </w:r>
            <w:r w:rsidR="00FE41F7">
              <w:rPr>
                <w:rFonts w:cs="Garamond"/>
                <w:color w:val="000000"/>
                <w:szCs w:val="22"/>
              </w:rPr>
              <w:t>, men det er naturligvis beklageligt, at høri</w:t>
            </w:r>
            <w:r w:rsidR="00FE41F7">
              <w:rPr>
                <w:rFonts w:cs="Garamond"/>
                <w:color w:val="000000"/>
                <w:szCs w:val="22"/>
              </w:rPr>
              <w:t>n</w:t>
            </w:r>
            <w:r w:rsidR="00FE41F7">
              <w:rPr>
                <w:rFonts w:cs="Garamond"/>
                <w:color w:val="000000"/>
                <w:szCs w:val="22"/>
              </w:rPr>
              <w:t>gen er sket med en så kort frist.</w:t>
            </w:r>
          </w:p>
          <w:p w:rsidR="0041181A" w:rsidRDefault="0041181A" w:rsidP="009D4F1E">
            <w:pPr>
              <w:pStyle w:val="Tabel-BrdtekstmedafstandptekstGaramond"/>
              <w:rPr>
                <w:rFonts w:cs="Garamond"/>
                <w:color w:val="000000"/>
                <w:szCs w:val="22"/>
              </w:rPr>
            </w:pPr>
          </w:p>
          <w:p w:rsidR="00C22768" w:rsidRDefault="00C22768" w:rsidP="009D4F1E">
            <w:pPr>
              <w:pStyle w:val="Tabel-BrdtekstmedafstandptekstGaramond"/>
              <w:rPr>
                <w:rFonts w:cs="Garamond"/>
                <w:color w:val="000000"/>
                <w:szCs w:val="22"/>
              </w:rPr>
            </w:pPr>
            <w:r>
              <w:rPr>
                <w:rFonts w:cs="Garamond"/>
                <w:color w:val="000000"/>
                <w:szCs w:val="22"/>
              </w:rPr>
              <w:t>Det bemærkes</w:t>
            </w:r>
            <w:r w:rsidR="00BC350F">
              <w:rPr>
                <w:rFonts w:cs="Garamond"/>
                <w:color w:val="000000"/>
                <w:szCs w:val="22"/>
              </w:rPr>
              <w:t xml:space="preserve"> endelig</w:t>
            </w:r>
            <w:r w:rsidRPr="00C22768">
              <w:rPr>
                <w:rFonts w:cs="Garamond"/>
                <w:color w:val="000000"/>
                <w:szCs w:val="22"/>
              </w:rPr>
              <w:t xml:space="preserve">, </w:t>
            </w:r>
            <w:r>
              <w:rPr>
                <w:rFonts w:cs="Garamond"/>
                <w:color w:val="000000"/>
                <w:szCs w:val="22"/>
              </w:rPr>
              <w:t xml:space="preserve">at </w:t>
            </w:r>
            <w:r w:rsidR="009E67E0">
              <w:rPr>
                <w:rFonts w:cs="Garamond"/>
                <w:color w:val="000000"/>
                <w:szCs w:val="22"/>
              </w:rPr>
              <w:t>lo</w:t>
            </w:r>
            <w:r w:rsidR="009E67E0">
              <w:rPr>
                <w:rFonts w:cs="Garamond"/>
                <w:color w:val="000000"/>
                <w:szCs w:val="22"/>
              </w:rPr>
              <w:t>v</w:t>
            </w:r>
            <w:r w:rsidRPr="00C22768">
              <w:rPr>
                <w:rFonts w:cs="Garamond"/>
                <w:color w:val="000000"/>
                <w:szCs w:val="22"/>
              </w:rPr>
              <w:t xml:space="preserve">forslaget </w:t>
            </w:r>
            <w:r>
              <w:rPr>
                <w:rFonts w:cs="Garamond"/>
                <w:color w:val="000000"/>
                <w:szCs w:val="22"/>
              </w:rPr>
              <w:t>ikke er</w:t>
            </w:r>
            <w:r w:rsidRPr="00C22768">
              <w:rPr>
                <w:rFonts w:cs="Garamond"/>
                <w:color w:val="000000"/>
                <w:szCs w:val="22"/>
              </w:rPr>
              <w:t xml:space="preserve"> i strid med </w:t>
            </w:r>
            <w:r w:rsidR="00BC350F">
              <w:rPr>
                <w:rFonts w:cs="Garamond"/>
                <w:color w:val="000000"/>
                <w:szCs w:val="22"/>
              </w:rPr>
              <w:t>reg</w:t>
            </w:r>
            <w:r w:rsidR="00BC350F">
              <w:rPr>
                <w:rFonts w:cs="Garamond"/>
                <w:color w:val="000000"/>
                <w:szCs w:val="22"/>
              </w:rPr>
              <w:t>e</w:t>
            </w:r>
            <w:r w:rsidR="00BC350F">
              <w:rPr>
                <w:rFonts w:cs="Garamond"/>
                <w:color w:val="000000"/>
                <w:szCs w:val="22"/>
              </w:rPr>
              <w:t xml:space="preserve">ringens </w:t>
            </w:r>
            <w:r w:rsidRPr="00C22768">
              <w:rPr>
                <w:rFonts w:cs="Garamond"/>
                <w:color w:val="000000"/>
                <w:szCs w:val="22"/>
              </w:rPr>
              <w:t>skattestop. Som regeri</w:t>
            </w:r>
            <w:r w:rsidRPr="00C22768">
              <w:rPr>
                <w:rFonts w:cs="Garamond"/>
                <w:color w:val="000000"/>
                <w:szCs w:val="22"/>
              </w:rPr>
              <w:t>n</w:t>
            </w:r>
            <w:r w:rsidRPr="00C22768">
              <w:rPr>
                <w:rFonts w:cs="Garamond"/>
                <w:color w:val="000000"/>
                <w:szCs w:val="22"/>
              </w:rPr>
              <w:t>gen også meldte ud inden valget, er det inden for rammerne af skattestoppet at reducere e</w:t>
            </w:r>
            <w:r w:rsidRPr="00C22768">
              <w:rPr>
                <w:rFonts w:cs="Garamond"/>
                <w:color w:val="000000"/>
                <w:szCs w:val="22"/>
              </w:rPr>
              <w:t>r</w:t>
            </w:r>
            <w:r w:rsidRPr="00C22768">
              <w:rPr>
                <w:rFonts w:cs="Garamond"/>
                <w:color w:val="000000"/>
                <w:szCs w:val="22"/>
              </w:rPr>
              <w:t>hvervsstøtten, når provenuet krone-for-krone går til at lempe skatter og afgifter for virkso</w:t>
            </w:r>
            <w:r w:rsidRPr="00C22768">
              <w:rPr>
                <w:rFonts w:cs="Garamond"/>
                <w:color w:val="000000"/>
                <w:szCs w:val="22"/>
              </w:rPr>
              <w:t>m</w:t>
            </w:r>
            <w:r w:rsidRPr="00C22768">
              <w:rPr>
                <w:rFonts w:cs="Garamond"/>
                <w:color w:val="000000"/>
                <w:szCs w:val="22"/>
              </w:rPr>
              <w:t>hederne.</w:t>
            </w:r>
          </w:p>
          <w:p w:rsidR="00C22768" w:rsidRPr="00B5346F" w:rsidRDefault="00C22768" w:rsidP="009D4F1E">
            <w:pPr>
              <w:pStyle w:val="Tabel-BrdtekstmedafstandptekstGaramond"/>
            </w:pPr>
          </w:p>
        </w:tc>
      </w:tr>
      <w:tr w:rsidR="00105FA8" w:rsidRPr="00B5346F" w:rsidTr="00C87589">
        <w:tc>
          <w:tcPr>
            <w:tcW w:w="2653" w:type="dxa"/>
            <w:tcBorders>
              <w:top w:val="single" w:sz="4" w:space="0" w:color="D1C5C3" w:themeColor="accent3"/>
              <w:bottom w:val="single" w:sz="4" w:space="0" w:color="D1C5C3" w:themeColor="accent3"/>
            </w:tcBorders>
            <w:shd w:val="clear" w:color="auto" w:fill="FBF9F9"/>
          </w:tcPr>
          <w:p w:rsidR="00105FA8" w:rsidRDefault="00105FA8" w:rsidP="00C0001A">
            <w:pPr>
              <w:pStyle w:val="Tabel-BrdtekstmedafstandptekstGaramond"/>
              <w:rPr>
                <w:i/>
              </w:rPr>
            </w:pPr>
            <w:r>
              <w:rPr>
                <w:i/>
              </w:rPr>
              <w:lastRenderedPageBreak/>
              <w:t>Danmarks Forsknings- og Innovationspolitiske Råd, DFiR</w:t>
            </w:r>
          </w:p>
        </w:tc>
        <w:tc>
          <w:tcPr>
            <w:tcW w:w="194" w:type="dxa"/>
            <w:shd w:val="clear" w:color="auto" w:fill="FFFFFF" w:themeFill="background1"/>
          </w:tcPr>
          <w:p w:rsidR="00105FA8" w:rsidRPr="00B5346F" w:rsidRDefault="00105FA8" w:rsidP="00122C71"/>
        </w:tc>
        <w:tc>
          <w:tcPr>
            <w:tcW w:w="3324" w:type="dxa"/>
            <w:tcBorders>
              <w:top w:val="single" w:sz="4" w:space="0" w:color="D1C5C3" w:themeColor="accent3"/>
              <w:bottom w:val="single" w:sz="4" w:space="0" w:color="D1C5C3" w:themeColor="accent3"/>
            </w:tcBorders>
            <w:shd w:val="clear" w:color="auto" w:fill="FBF9F9"/>
          </w:tcPr>
          <w:p w:rsidR="00105FA8" w:rsidRDefault="00105FA8" w:rsidP="00105FA8">
            <w:pPr>
              <w:pStyle w:val="Tabel-BrdtekstmedafstandptekstGaramond"/>
            </w:pPr>
            <w:r>
              <w:t>D</w:t>
            </w:r>
            <w:r w:rsidR="00A32DE0">
              <w:t>FiR anfører, at d</w:t>
            </w:r>
            <w:r w:rsidRPr="00105FA8">
              <w:t>ansk forskning</w:t>
            </w:r>
            <w:r>
              <w:t xml:space="preserve"> </w:t>
            </w:r>
            <w:r w:rsidRPr="00105FA8">
              <w:t>tilhører den absolutte verdensel</w:t>
            </w:r>
            <w:r w:rsidRPr="00105FA8">
              <w:t>i</w:t>
            </w:r>
            <w:r w:rsidRPr="00105FA8">
              <w:t>te</w:t>
            </w:r>
            <w:r w:rsidR="00A32DE0">
              <w:t>, hvilket</w:t>
            </w:r>
            <w:r w:rsidRPr="00105FA8">
              <w:t xml:space="preserve"> gavner Danmarks i</w:t>
            </w:r>
            <w:r w:rsidRPr="00105FA8">
              <w:t>n</w:t>
            </w:r>
            <w:r w:rsidRPr="00105FA8">
              <w:t>ternationale konkurrenceevne</w:t>
            </w:r>
            <w:r>
              <w:t xml:space="preserve"> </w:t>
            </w:r>
            <w:r w:rsidRPr="00105FA8">
              <w:t>og danske virksomheder</w:t>
            </w:r>
            <w:r w:rsidR="00A32DE0">
              <w:t>, og at d</w:t>
            </w:r>
            <w:r w:rsidRPr="00105FA8">
              <w:t>en situation er regeringen med en række</w:t>
            </w:r>
            <w:r>
              <w:t xml:space="preserve"> </w:t>
            </w:r>
            <w:r w:rsidRPr="00105FA8">
              <w:t xml:space="preserve">hidtil usete besparelser samt nærværende lovforslag ved </w:t>
            </w:r>
            <w:r w:rsidRPr="00105FA8">
              <w:lastRenderedPageBreak/>
              <w:t>at ændre.</w:t>
            </w:r>
          </w:p>
          <w:p w:rsidR="00105FA8" w:rsidRPr="00105FA8" w:rsidRDefault="00105FA8" w:rsidP="00105FA8">
            <w:pPr>
              <w:pStyle w:val="Tabel-BrdtekstmedafstandptekstGaramond"/>
            </w:pPr>
          </w:p>
          <w:p w:rsidR="00105FA8" w:rsidRDefault="00A32DE0" w:rsidP="00A32DE0">
            <w:pPr>
              <w:pStyle w:val="Tabel-BrdtekstmedafstandptekstGaramond"/>
            </w:pPr>
            <w:r>
              <w:t>DFiR henviser til, at der med</w:t>
            </w:r>
            <w:r w:rsidR="00105FA8" w:rsidRPr="00105FA8">
              <w:t xml:space="preserve"> f</w:t>
            </w:r>
            <w:r w:rsidR="00105FA8" w:rsidRPr="00105FA8">
              <w:t>i</w:t>
            </w:r>
            <w:r w:rsidR="00105FA8" w:rsidRPr="00105FA8">
              <w:t>nanslovsforslag</w:t>
            </w:r>
            <w:r w:rsidR="00122315">
              <w:t>et</w:t>
            </w:r>
            <w:r w:rsidR="00105FA8" w:rsidRPr="00105FA8">
              <w:t xml:space="preserve"> for 2016 </w:t>
            </w:r>
            <w:r>
              <w:t xml:space="preserve">er </w:t>
            </w:r>
            <w:r w:rsidRPr="00105FA8">
              <w:t>b</w:t>
            </w:r>
            <w:r w:rsidRPr="00105FA8">
              <w:t>e</w:t>
            </w:r>
            <w:r w:rsidRPr="00105FA8">
              <w:t>slutte</w:t>
            </w:r>
            <w:r>
              <w:t>t</w:t>
            </w:r>
            <w:r w:rsidRPr="00105FA8">
              <w:t xml:space="preserve"> </w:t>
            </w:r>
            <w:r w:rsidR="00105FA8" w:rsidRPr="00105FA8">
              <w:t>en direkte besparelse på den offentligt</w:t>
            </w:r>
            <w:r w:rsidR="00105FA8">
              <w:t xml:space="preserve"> </w:t>
            </w:r>
            <w:r w:rsidR="00105FA8" w:rsidRPr="00105FA8">
              <w:t>finansierede fors</w:t>
            </w:r>
            <w:r w:rsidR="00105FA8" w:rsidRPr="00105FA8">
              <w:t>k</w:t>
            </w:r>
            <w:r w:rsidR="00105FA8" w:rsidRPr="00105FA8">
              <w:t>ning på 1,4 mia. kr.</w:t>
            </w:r>
            <w:r>
              <w:t xml:space="preserve">, hvilket </w:t>
            </w:r>
            <w:r w:rsidR="00105FA8" w:rsidRPr="00105FA8">
              <w:t>sv</w:t>
            </w:r>
            <w:r w:rsidR="00105FA8" w:rsidRPr="00105FA8">
              <w:t>a</w:t>
            </w:r>
            <w:r w:rsidR="00105FA8" w:rsidRPr="00105FA8">
              <w:t>rer til en besparelse på 8,5 pr</w:t>
            </w:r>
            <w:r w:rsidR="00105FA8" w:rsidRPr="00105FA8">
              <w:t>o</w:t>
            </w:r>
            <w:r w:rsidR="00105FA8" w:rsidRPr="00105FA8">
              <w:t>cent fra</w:t>
            </w:r>
            <w:r>
              <w:t xml:space="preserve"> </w:t>
            </w:r>
            <w:r w:rsidR="00105FA8" w:rsidRPr="00105FA8">
              <w:t xml:space="preserve">det ene år til det næste. Det starter </w:t>
            </w:r>
            <w:r w:rsidR="00E95FC4">
              <w:t xml:space="preserve">ifølge DFiR </w:t>
            </w:r>
            <w:r w:rsidR="00105FA8" w:rsidRPr="00105FA8">
              <w:t>en vol</w:t>
            </w:r>
            <w:r w:rsidR="00105FA8" w:rsidRPr="00105FA8">
              <w:t>d</w:t>
            </w:r>
            <w:r w:rsidR="00105FA8" w:rsidRPr="00105FA8">
              <w:t>som nedskalering af dansk fors</w:t>
            </w:r>
            <w:r w:rsidR="00105FA8" w:rsidRPr="00105FA8">
              <w:t>k</w:t>
            </w:r>
            <w:r w:rsidR="00105FA8" w:rsidRPr="00105FA8">
              <w:t>ning.</w:t>
            </w:r>
          </w:p>
          <w:p w:rsidR="00105FA8" w:rsidRPr="00105FA8" w:rsidRDefault="00105FA8" w:rsidP="00105FA8">
            <w:pPr>
              <w:pStyle w:val="Tabel-BrdtekstmedafstandptekstGaramond"/>
            </w:pPr>
          </w:p>
          <w:p w:rsidR="00105FA8" w:rsidRPr="00105FA8" w:rsidRDefault="00105FA8" w:rsidP="00105FA8">
            <w:pPr>
              <w:pStyle w:val="Tabel-BrdtekstmedafstandptekstGaramond"/>
            </w:pPr>
            <w:r w:rsidRPr="00105FA8">
              <w:t>Samtidig har regeringen besluttet, at universiteternes uddannelser skal bidrage</w:t>
            </w:r>
            <w:r>
              <w:t xml:space="preserve"> </w:t>
            </w:r>
            <w:r w:rsidRPr="00105FA8">
              <w:t>med den årlige to</w:t>
            </w:r>
            <w:r w:rsidR="003B3246">
              <w:t>-</w:t>
            </w:r>
            <w:r w:rsidRPr="00105FA8">
              <w:t xml:space="preserve"> procents besparelse, som gælder for øvrige offentlige institutioner.</w:t>
            </w:r>
          </w:p>
          <w:p w:rsidR="00105FA8" w:rsidRPr="00105FA8" w:rsidRDefault="00105FA8" w:rsidP="00105FA8">
            <w:pPr>
              <w:pStyle w:val="Tabel-BrdtekstmedafstandptekstGaramond"/>
            </w:pPr>
            <w:r w:rsidRPr="00105FA8">
              <w:t>Da forskning og uddannelse ikke fungerer som separate områder på universiteterne,</w:t>
            </w:r>
            <w:r>
              <w:t xml:space="preserve"> </w:t>
            </w:r>
            <w:r w:rsidRPr="00105FA8">
              <w:t xml:space="preserve">får også denne besparelse </w:t>
            </w:r>
            <w:r w:rsidR="00E95FC4">
              <w:t xml:space="preserve">ifølge DFiR </w:t>
            </w:r>
            <w:r w:rsidRPr="00105FA8">
              <w:t>direkte negativ indflydelse på dansk forskning.</w:t>
            </w:r>
            <w:r>
              <w:t xml:space="preserve"> </w:t>
            </w:r>
            <w:r w:rsidRPr="00105FA8">
              <w:t>Danske forskningsi</w:t>
            </w:r>
            <w:r w:rsidRPr="00105FA8">
              <w:t>n</w:t>
            </w:r>
            <w:r w:rsidRPr="00105FA8">
              <w:t>stitutioner er netop i gang med at varsle fyringer og store nedsk</w:t>
            </w:r>
            <w:r w:rsidRPr="00105FA8">
              <w:t>æ</w:t>
            </w:r>
            <w:r w:rsidRPr="00105FA8">
              <w:t>ringer.</w:t>
            </w:r>
            <w:r>
              <w:t xml:space="preserve"> </w:t>
            </w:r>
            <w:r w:rsidRPr="00105FA8">
              <w:t>Disse allerede udmeldte besparelser har en voldsom e</w:t>
            </w:r>
            <w:r w:rsidRPr="00105FA8">
              <w:t>f</w:t>
            </w:r>
            <w:r w:rsidRPr="00105FA8">
              <w:t>fekt på i særdeleshed</w:t>
            </w:r>
          </w:p>
          <w:p w:rsidR="00105FA8" w:rsidRDefault="00105FA8" w:rsidP="00105FA8">
            <w:pPr>
              <w:pStyle w:val="Tabel-BrdtekstmedafstandptekstGaramond"/>
            </w:pPr>
            <w:r w:rsidRPr="00105FA8">
              <w:t>vækstlaget af dansk forskning.</w:t>
            </w:r>
          </w:p>
          <w:p w:rsidR="00105FA8" w:rsidRDefault="00105FA8" w:rsidP="00105FA8">
            <w:pPr>
              <w:pStyle w:val="Tabel-BrdtekstmedafstandptekstGaramond"/>
            </w:pPr>
          </w:p>
          <w:p w:rsidR="00105FA8" w:rsidRDefault="00E95FC4" w:rsidP="00105FA8">
            <w:pPr>
              <w:pStyle w:val="Tabel-BrdtekstmedafstandptekstGaramond"/>
            </w:pPr>
            <w:r>
              <w:t xml:space="preserve">DFiR anføre, at </w:t>
            </w:r>
            <w:r w:rsidR="00105FA8" w:rsidRPr="00105FA8">
              <w:t>lovforslag</w:t>
            </w:r>
            <w:r>
              <w:t>et</w:t>
            </w:r>
            <w:r w:rsidR="00105FA8" w:rsidRPr="00105FA8">
              <w:t>, der forringer private fondes rammer</w:t>
            </w:r>
            <w:r w:rsidR="00105FA8">
              <w:t xml:space="preserve"> </w:t>
            </w:r>
            <w:r w:rsidR="00105FA8" w:rsidRPr="00105FA8">
              <w:t>for at støtte dansk forskning, medfører en yderligere voldsom forværring for</w:t>
            </w:r>
            <w:r w:rsidR="00105FA8">
              <w:t xml:space="preserve"> </w:t>
            </w:r>
            <w:r w:rsidR="00105FA8" w:rsidRPr="00105FA8">
              <w:t>dansk forskning, der i forvejen er i opbremsning.</w:t>
            </w:r>
          </w:p>
          <w:p w:rsidR="00105FA8" w:rsidRPr="00105FA8" w:rsidRDefault="00105FA8" w:rsidP="00105FA8">
            <w:pPr>
              <w:pStyle w:val="Tabel-BrdtekstmedafstandptekstGaramond"/>
            </w:pPr>
          </w:p>
          <w:p w:rsidR="008370FB" w:rsidRDefault="00105FA8" w:rsidP="008370FB">
            <w:pPr>
              <w:pStyle w:val="Tabel-BrdtekstmedafstandptekstGaramond"/>
            </w:pPr>
            <w:r w:rsidRPr="00105FA8">
              <w:t xml:space="preserve">DFiR vurderer, at </w:t>
            </w:r>
            <w:r w:rsidR="008370FB">
              <w:t xml:space="preserve">det skønnede </w:t>
            </w:r>
            <w:r w:rsidRPr="00105FA8">
              <w:t xml:space="preserve">merprovenu på 200 mio. kr. </w:t>
            </w:r>
            <w:r w:rsidR="008370FB">
              <w:t xml:space="preserve">ved de foreslåede ændringer </w:t>
            </w:r>
            <w:r w:rsidRPr="00105FA8">
              <w:t>ikke er realistisk</w:t>
            </w:r>
            <w:r>
              <w:t xml:space="preserve"> </w:t>
            </w:r>
            <w:r w:rsidRPr="00105FA8">
              <w:t>i forhold til fondenes reelle uddeling til blandt andet forskning. Det antages,</w:t>
            </w:r>
            <w:r>
              <w:t xml:space="preserve"> </w:t>
            </w:r>
            <w:r w:rsidRPr="00105FA8">
              <w:t>at me</w:t>
            </w:r>
            <w:r w:rsidRPr="00105FA8">
              <w:t>r</w:t>
            </w:r>
            <w:r w:rsidRPr="00105FA8">
              <w:lastRenderedPageBreak/>
              <w:t xml:space="preserve">provenuet er langt større. </w:t>
            </w:r>
          </w:p>
          <w:p w:rsidR="008370FB" w:rsidRPr="00105FA8" w:rsidRDefault="008370FB" w:rsidP="008370FB">
            <w:pPr>
              <w:pStyle w:val="Tabel-BrdtekstmedafstandptekstGaramond"/>
            </w:pPr>
          </w:p>
          <w:p w:rsidR="00105FA8" w:rsidRDefault="00105FA8" w:rsidP="008370FB">
            <w:pPr>
              <w:pStyle w:val="Tabel-BrdtekstmedafstandptekstGaramond"/>
            </w:pPr>
            <w:r w:rsidRPr="00105FA8">
              <w:t>Derudover kan det forventes, at effekten af lov</w:t>
            </w:r>
            <w:r w:rsidR="008370FB" w:rsidRPr="008370FB">
              <w:t>forslaget i årene frem vil have en negativ kons</w:t>
            </w:r>
            <w:r w:rsidR="008370FB" w:rsidRPr="008370FB">
              <w:t>e</w:t>
            </w:r>
            <w:r w:rsidR="008370FB" w:rsidRPr="008370FB">
              <w:t>kvens i forhold til størrelsen af uddelinger,</w:t>
            </w:r>
            <w:r w:rsidR="008370FB">
              <w:t xml:space="preserve"> </w:t>
            </w:r>
            <w:r w:rsidR="008370FB" w:rsidRPr="008370FB">
              <w:t>som fondene giver til dansk forskning og dermed det danske samfund.</w:t>
            </w:r>
          </w:p>
          <w:p w:rsidR="00A126CF" w:rsidRDefault="00A126CF" w:rsidP="008370FB">
            <w:pPr>
              <w:pStyle w:val="Tabel-BrdtekstmedafstandptekstGaramond"/>
            </w:pPr>
          </w:p>
          <w:p w:rsidR="00A126CF" w:rsidRPr="00A126CF" w:rsidRDefault="00A126CF" w:rsidP="00A126CF">
            <w:pPr>
              <w:pStyle w:val="Tabel-BrdtekstmedafstandptekstGaramond"/>
            </w:pPr>
            <w:r w:rsidRPr="00A126CF">
              <w:t>For at illustrere de uoverskuelige konsekvenser for dansk fors</w:t>
            </w:r>
            <w:r w:rsidRPr="00A126CF">
              <w:t>k</w:t>
            </w:r>
            <w:r w:rsidRPr="00A126CF">
              <w:t>ning henviser DFiR</w:t>
            </w:r>
            <w:r>
              <w:t xml:space="preserve"> </w:t>
            </w:r>
            <w:r w:rsidRPr="00A126CF">
              <w:t>til opgørelser fra Danmarks Statistik. Den ek</w:t>
            </w:r>
            <w:r w:rsidRPr="00A126CF">
              <w:t>s</w:t>
            </w:r>
            <w:r w:rsidRPr="00A126CF">
              <w:t>terne finansiering af forskning udført</w:t>
            </w:r>
            <w:r>
              <w:t xml:space="preserve"> </w:t>
            </w:r>
            <w:r w:rsidRPr="00A126CF">
              <w:t>ved de otte danske unive</w:t>
            </w:r>
            <w:r w:rsidRPr="00A126CF">
              <w:t>r</w:t>
            </w:r>
            <w:r w:rsidRPr="00A126CF">
              <w:t>siteter for midler, der kommer fra organisationer og fonde</w:t>
            </w:r>
            <w:r>
              <w:t xml:space="preserve"> </w:t>
            </w:r>
            <w:r w:rsidRPr="00A126CF">
              <w:t>(hvoraf fonde tegner sig for langt den overvejende del), er steget ma</w:t>
            </w:r>
            <w:r w:rsidRPr="00A126CF">
              <w:t>r</w:t>
            </w:r>
            <w:r w:rsidRPr="00A126CF">
              <w:t>kant over</w:t>
            </w:r>
            <w:r>
              <w:t xml:space="preserve"> </w:t>
            </w:r>
            <w:r w:rsidRPr="00A126CF">
              <w:t>en årrække. Ved de danske universiteter blev der e</w:t>
            </w:r>
            <w:r w:rsidRPr="00A126CF">
              <w:t>k</w:t>
            </w:r>
            <w:r w:rsidRPr="00A126CF">
              <w:t>sempelvis i 2013 udført forskning</w:t>
            </w:r>
          </w:p>
          <w:p w:rsidR="00A126CF" w:rsidRPr="00B5346F" w:rsidRDefault="00A126CF" w:rsidP="00836932">
            <w:pPr>
              <w:pStyle w:val="Tabel-BrdtekstmedafstandptekstGaramond"/>
            </w:pPr>
            <w:r w:rsidRPr="00A126CF">
              <w:t>for godt 1,4 mia. kr.</w:t>
            </w:r>
            <w:r>
              <w:t>,</w:t>
            </w:r>
            <w:r w:rsidRPr="00A126CF">
              <w:t xml:space="preserve"> der er fina</w:t>
            </w:r>
            <w:r w:rsidRPr="00A126CF">
              <w:t>n</w:t>
            </w:r>
            <w:r w:rsidRPr="00A126CF">
              <w:t>sieret fra organisationer og fo</w:t>
            </w:r>
            <w:r w:rsidRPr="00A126CF">
              <w:t>n</w:t>
            </w:r>
            <w:r w:rsidRPr="00A126CF">
              <w:t>de. Det svarer</w:t>
            </w:r>
            <w:r>
              <w:t xml:space="preserve"> til, at næsten 10 pct.</w:t>
            </w:r>
            <w:r w:rsidRPr="00A126CF">
              <w:t xml:space="preserve"> af den samlede eksterne forskningsfinansiering til unive</w:t>
            </w:r>
            <w:r w:rsidRPr="00A126CF">
              <w:t>r</w:t>
            </w:r>
            <w:r w:rsidRPr="00A126CF">
              <w:t>siteterne,</w:t>
            </w:r>
            <w:r>
              <w:t xml:space="preserve"> </w:t>
            </w:r>
            <w:r w:rsidRPr="00A126CF">
              <w:t>kommer fra organisat</w:t>
            </w:r>
            <w:r w:rsidRPr="00A126CF">
              <w:t>i</w:t>
            </w:r>
            <w:r w:rsidRPr="00A126CF">
              <w:t>oner og fonde. Dertil kommer finansiering af forskning ved a</w:t>
            </w:r>
            <w:r w:rsidRPr="00A126CF">
              <w:t>n</w:t>
            </w:r>
            <w:r w:rsidRPr="00A126CF">
              <w:t>dre forskningsinstitutioner og i</w:t>
            </w:r>
            <w:r w:rsidRPr="00A126CF">
              <w:t>k</w:t>
            </w:r>
            <w:r w:rsidRPr="00A126CF">
              <w:t>ke</w:t>
            </w:r>
            <w:r>
              <w:t xml:space="preserve"> </w:t>
            </w:r>
            <w:r w:rsidRPr="00A126CF">
              <w:t>mindst hospitalerne. Fors</w:t>
            </w:r>
            <w:r w:rsidRPr="00A126CF">
              <w:t>k</w:t>
            </w:r>
            <w:r w:rsidRPr="00A126CF">
              <w:t>ningsindsatsen ved hospitalerne er i meget høj grad</w:t>
            </w:r>
            <w:r>
              <w:t xml:space="preserve"> </w:t>
            </w:r>
            <w:r w:rsidRPr="00A126CF">
              <w:t>fondsa</w:t>
            </w:r>
            <w:r w:rsidRPr="00A126CF">
              <w:t>f</w:t>
            </w:r>
            <w:r w:rsidRPr="00A126CF">
              <w:t xml:space="preserve">hængig. </w:t>
            </w:r>
            <w:r w:rsidR="00E95FC4">
              <w:t>DFiR anfører, at e</w:t>
            </w:r>
            <w:r w:rsidRPr="00A126CF">
              <w:t>n ko</w:t>
            </w:r>
            <w:r w:rsidRPr="00A126CF">
              <w:t>n</w:t>
            </w:r>
            <w:r w:rsidRPr="00A126CF">
              <w:t>sekvens af gennemførelsen af lovforslag</w:t>
            </w:r>
            <w:r w:rsidR="00E95FC4">
              <w:t>et</w:t>
            </w:r>
            <w:r w:rsidRPr="00A126CF">
              <w:t xml:space="preserve"> bliver, at vigtig</w:t>
            </w:r>
            <w:r>
              <w:t xml:space="preserve"> </w:t>
            </w:r>
            <w:r w:rsidRPr="00A126CF">
              <w:t>forskning inden for områderne sundhed og sygdom ikke kan igangsættes.</w:t>
            </w:r>
            <w:r>
              <w:t xml:space="preserve"> </w:t>
            </w:r>
            <w:r w:rsidRPr="00A126CF">
              <w:t>DFiR håber, at Ska</w:t>
            </w:r>
            <w:r w:rsidRPr="00A126CF">
              <w:t>t</w:t>
            </w:r>
            <w:r w:rsidRPr="00A126CF">
              <w:t xml:space="preserve">teministeriet </w:t>
            </w:r>
            <w:r w:rsidR="00E95FC4">
              <w:t>og</w:t>
            </w:r>
            <w:r w:rsidRPr="00A126CF">
              <w:t xml:space="preserve"> regering</w:t>
            </w:r>
            <w:r w:rsidR="00E95FC4">
              <w:t>en</w:t>
            </w:r>
            <w:r w:rsidRPr="00A126CF">
              <w:t xml:space="preserve"> genovervejer</w:t>
            </w:r>
            <w:r>
              <w:t xml:space="preserve"> </w:t>
            </w:r>
            <w:r w:rsidRPr="00A126CF">
              <w:t>den samlede effekt af de seneste måneders ua</w:t>
            </w:r>
            <w:r w:rsidRPr="00A126CF">
              <w:t>f</w:t>
            </w:r>
            <w:r w:rsidRPr="00A126CF">
              <w:lastRenderedPageBreak/>
              <w:t>hængige, men sammenfaldende beslutninger</w:t>
            </w:r>
            <w:r>
              <w:t xml:space="preserve"> </w:t>
            </w:r>
            <w:r w:rsidRPr="00A126CF">
              <w:t>om besparelser på dansk forskning. Fondene spiller en central rolle for</w:t>
            </w:r>
            <w:r>
              <w:t xml:space="preserve"> </w:t>
            </w:r>
            <w:r w:rsidRPr="00A126CF">
              <w:t>dansk fors</w:t>
            </w:r>
            <w:r w:rsidRPr="00A126CF">
              <w:t>k</w:t>
            </w:r>
            <w:r w:rsidRPr="00A126CF">
              <w:t>ning. Lovforslaget og høringsl</w:t>
            </w:r>
            <w:r w:rsidRPr="00A126CF">
              <w:t>i</w:t>
            </w:r>
            <w:r w:rsidRPr="00A126CF">
              <w:t>sten reflekterer på ingen måde dette forhold</w:t>
            </w:r>
            <w:r>
              <w:t xml:space="preserve"> </w:t>
            </w:r>
            <w:r w:rsidRPr="00A126CF">
              <w:t>og konsekvenserne heraf.</w:t>
            </w:r>
          </w:p>
        </w:tc>
        <w:tc>
          <w:tcPr>
            <w:tcW w:w="209" w:type="dxa"/>
            <w:shd w:val="clear" w:color="auto" w:fill="FFFFFF" w:themeFill="background1"/>
          </w:tcPr>
          <w:p w:rsidR="00105FA8" w:rsidRPr="00B5346F" w:rsidRDefault="00105FA8" w:rsidP="00122C71"/>
        </w:tc>
        <w:tc>
          <w:tcPr>
            <w:tcW w:w="3259" w:type="dxa"/>
            <w:tcBorders>
              <w:top w:val="single" w:sz="4" w:space="0" w:color="14143C" w:themeColor="accent1"/>
              <w:bottom w:val="single" w:sz="4" w:space="0" w:color="14143C" w:themeColor="accent1"/>
            </w:tcBorders>
            <w:shd w:val="clear" w:color="auto" w:fill="D2CED8"/>
          </w:tcPr>
          <w:p w:rsidR="00B63C3F" w:rsidRDefault="00B63C3F" w:rsidP="00122C71">
            <w:pPr>
              <w:pStyle w:val="Tabel-BrdtekstmedafstandptekstGaramond"/>
            </w:pPr>
          </w:p>
          <w:p w:rsidR="00B63C3F" w:rsidRPr="00B63C3F" w:rsidRDefault="00B63C3F" w:rsidP="00B63C3F"/>
          <w:p w:rsidR="00B63C3F" w:rsidRPr="00B63C3F" w:rsidRDefault="00B63C3F" w:rsidP="00B63C3F"/>
          <w:p w:rsidR="00B63C3F" w:rsidRPr="00B63C3F" w:rsidRDefault="00B63C3F" w:rsidP="00B63C3F"/>
          <w:p w:rsidR="00B63C3F" w:rsidRPr="00B63C3F" w:rsidRDefault="00B63C3F" w:rsidP="00B63C3F"/>
          <w:p w:rsidR="00B63C3F" w:rsidRPr="00B63C3F" w:rsidRDefault="00B63C3F" w:rsidP="00B63C3F"/>
          <w:p w:rsidR="00B63C3F" w:rsidRPr="00B63C3F" w:rsidRDefault="00B63C3F" w:rsidP="00B63C3F"/>
          <w:p w:rsidR="00B63C3F" w:rsidRPr="00B63C3F" w:rsidRDefault="00B63C3F" w:rsidP="00B63C3F"/>
          <w:p w:rsidR="00B63C3F" w:rsidRDefault="00B63C3F" w:rsidP="00B63C3F"/>
          <w:p w:rsidR="00105FA8" w:rsidRDefault="00105FA8" w:rsidP="00B63C3F"/>
          <w:p w:rsidR="00B63C3F" w:rsidRDefault="00B63C3F" w:rsidP="00B63C3F"/>
          <w:p w:rsidR="00B63C3F" w:rsidRDefault="00B63C3F" w:rsidP="00B63C3F"/>
          <w:p w:rsidR="00B63C3F" w:rsidRDefault="00B63C3F" w:rsidP="00B63C3F"/>
          <w:p w:rsidR="00B63C3F" w:rsidRDefault="00B63C3F" w:rsidP="00B63C3F"/>
          <w:p w:rsidR="00B63C3F" w:rsidRDefault="00B63C3F" w:rsidP="00B63C3F"/>
          <w:p w:rsidR="00B63C3F" w:rsidRDefault="00B63C3F" w:rsidP="00B63C3F"/>
          <w:p w:rsidR="00B63C3F" w:rsidRDefault="00B63C3F" w:rsidP="00B63C3F"/>
          <w:p w:rsidR="00B63C3F" w:rsidRDefault="00B63C3F" w:rsidP="00B63C3F"/>
          <w:p w:rsidR="00B63C3F" w:rsidRDefault="00B63C3F" w:rsidP="00B63C3F"/>
          <w:p w:rsidR="00B63C3F" w:rsidRDefault="00B63C3F" w:rsidP="00B63C3F"/>
          <w:p w:rsidR="00B63C3F" w:rsidRDefault="00B63C3F" w:rsidP="00B63C3F"/>
          <w:p w:rsidR="00B63C3F" w:rsidRDefault="00B63C3F" w:rsidP="00B63C3F"/>
          <w:p w:rsidR="00B63C3F" w:rsidRDefault="00B63C3F" w:rsidP="00B63C3F"/>
          <w:p w:rsidR="00B63C3F" w:rsidRDefault="00B63C3F" w:rsidP="00B63C3F"/>
          <w:p w:rsidR="00B63C3F" w:rsidRDefault="00B63C3F" w:rsidP="00B63C3F"/>
          <w:p w:rsidR="00B63C3F" w:rsidRDefault="00B63C3F" w:rsidP="00B63C3F"/>
          <w:p w:rsidR="00B63C3F" w:rsidRDefault="00B63C3F" w:rsidP="00B63C3F"/>
          <w:p w:rsidR="00B63C3F" w:rsidRDefault="00B63C3F" w:rsidP="00B63C3F"/>
          <w:p w:rsidR="00B63C3F" w:rsidRDefault="00B63C3F" w:rsidP="00B63C3F"/>
          <w:p w:rsidR="00B63C3F" w:rsidRDefault="00B63C3F" w:rsidP="00B63C3F"/>
          <w:p w:rsidR="00B63C3F" w:rsidRDefault="00B63C3F" w:rsidP="00B63C3F"/>
          <w:p w:rsidR="00B63C3F" w:rsidRDefault="00B63C3F" w:rsidP="00B63C3F"/>
          <w:p w:rsidR="00B63C3F" w:rsidRDefault="00B63C3F" w:rsidP="00B63C3F"/>
          <w:p w:rsidR="00AC0F0B" w:rsidRDefault="00AC0F0B" w:rsidP="00B63C3F">
            <w:pPr>
              <w:pStyle w:val="Tabel-BrdtekstmedafstandptekstGaramond"/>
            </w:pPr>
          </w:p>
          <w:p w:rsidR="00AC0F0B" w:rsidRDefault="00AC0F0B" w:rsidP="00B63C3F">
            <w:pPr>
              <w:pStyle w:val="Tabel-BrdtekstmedafstandptekstGaramond"/>
            </w:pPr>
          </w:p>
          <w:p w:rsidR="00AC0F0B" w:rsidRDefault="00AC0F0B" w:rsidP="00B63C3F">
            <w:pPr>
              <w:pStyle w:val="Tabel-BrdtekstmedafstandptekstGaramond"/>
            </w:pPr>
          </w:p>
          <w:p w:rsidR="00AC0F0B" w:rsidRDefault="00AC0F0B" w:rsidP="00B63C3F">
            <w:pPr>
              <w:pStyle w:val="Tabel-BrdtekstmedafstandptekstGaramond"/>
            </w:pPr>
          </w:p>
          <w:p w:rsidR="00B63C3F" w:rsidRDefault="00B63C3F" w:rsidP="00B63C3F">
            <w:pPr>
              <w:pStyle w:val="Tabel-BrdtekstmedafstandptekstGaramond"/>
            </w:pPr>
            <w:r>
              <w:t>Ved lovforslaget fjernes en af de gunstige særregler, der gælder for fondene. Fondene vil stadig efter lovforslaget have adgang til fuldt fradrag for deres almenny</w:t>
            </w:r>
            <w:r>
              <w:t>t</w:t>
            </w:r>
            <w:r>
              <w:t>tige uddelinger. Afskaffelsen af fondenes konsolideringsfradrag vil gøre reglerne for fondene lidt mindre gunstige, men vil ikke afgørende forhindre fondene i fortsat at støtte almennyttige formål.</w:t>
            </w:r>
          </w:p>
          <w:p w:rsidR="00B63C3F" w:rsidRDefault="00B63C3F" w:rsidP="00B63C3F">
            <w:pPr>
              <w:pStyle w:val="Tabel-BrdtekstmedafstandptekstGaramond"/>
            </w:pPr>
          </w:p>
          <w:p w:rsidR="00B63C3F" w:rsidRDefault="00B63C3F" w:rsidP="00B63C3F">
            <w:pPr>
              <w:pStyle w:val="Tabel-BrdtekstmedafstandptekstGaramond"/>
            </w:pPr>
            <w:r>
              <w:lastRenderedPageBreak/>
              <w:t>Det bemærkes desuden, at stramningen for fondene me</w:t>
            </w:r>
            <w:r>
              <w:t>d</w:t>
            </w:r>
            <w:r>
              <w:t>virker til at målrette erhverv</w:t>
            </w:r>
            <w:r>
              <w:t>s</w:t>
            </w:r>
            <w:r>
              <w:t>støtten. Merprovenuet fra stramningen går således til f</w:t>
            </w:r>
            <w:r>
              <w:t>i</w:t>
            </w:r>
            <w:r>
              <w:t>nansiering af en markant forbe</w:t>
            </w:r>
            <w:r>
              <w:t>d</w:t>
            </w:r>
            <w:r>
              <w:t>ring af vilkårene for generation</w:t>
            </w:r>
            <w:r>
              <w:t>s</w:t>
            </w:r>
            <w:r>
              <w:t>skifte af erhvervsvirksomheder, herunder bl.a. gennem en ne</w:t>
            </w:r>
            <w:r>
              <w:t>d</w:t>
            </w:r>
            <w:r>
              <w:t>sættelse af bo- og gaveafgiften ved overdragelse af erhverv</w:t>
            </w:r>
            <w:r>
              <w:t>s</w:t>
            </w:r>
            <w:r>
              <w:t xml:space="preserve">virksomheder. </w:t>
            </w:r>
            <w:r w:rsidR="00D7743D">
              <w:t>De forbedrede generationsskiftemuligheder vil også omfatte overdragelse af e</w:t>
            </w:r>
            <w:r w:rsidR="00D7743D">
              <w:t>r</w:t>
            </w:r>
            <w:r w:rsidR="00D7743D">
              <w:t>hvervsvirksomhed til erhverv</w:t>
            </w:r>
            <w:r w:rsidR="00D7743D">
              <w:t>s</w:t>
            </w:r>
            <w:r w:rsidR="00D7743D">
              <w:t xml:space="preserve">drivende fonde, hvilket vil </w:t>
            </w:r>
            <w:r>
              <w:t>være til gavn for dansk erhvervsliv</w:t>
            </w:r>
            <w:r w:rsidR="00512E3A">
              <w:t>,</w:t>
            </w:r>
            <w:r>
              <w:t xml:space="preserve"> herunder danske forskningsvir</w:t>
            </w:r>
            <w:r>
              <w:t>k</w:t>
            </w:r>
            <w:r>
              <w:t>somheder.</w:t>
            </w:r>
          </w:p>
          <w:p w:rsidR="00B63C3F" w:rsidRDefault="00B63C3F" w:rsidP="00B63C3F"/>
          <w:p w:rsidR="00B63C3F" w:rsidRDefault="00B63C3F" w:rsidP="00B63C3F"/>
          <w:p w:rsidR="00B63C3F" w:rsidRDefault="00B63C3F" w:rsidP="00B63C3F"/>
          <w:p w:rsidR="00B63C3F" w:rsidRDefault="00B63C3F" w:rsidP="00B63C3F"/>
          <w:p w:rsidR="00B63C3F" w:rsidRDefault="00B63C3F" w:rsidP="00B63C3F"/>
          <w:p w:rsidR="00B63C3F" w:rsidRPr="00B63C3F" w:rsidRDefault="00B63C3F" w:rsidP="00B63C3F"/>
        </w:tc>
      </w:tr>
      <w:tr w:rsidR="009A36E0" w:rsidRPr="00B5346F" w:rsidTr="00C87589">
        <w:tc>
          <w:tcPr>
            <w:tcW w:w="2653" w:type="dxa"/>
            <w:tcBorders>
              <w:top w:val="single" w:sz="4" w:space="0" w:color="D1C5C3" w:themeColor="accent3"/>
              <w:bottom w:val="single" w:sz="4" w:space="0" w:color="D1C5C3" w:themeColor="accent3"/>
            </w:tcBorders>
            <w:shd w:val="clear" w:color="auto" w:fill="FBF9F9"/>
          </w:tcPr>
          <w:p w:rsidR="00C0001A" w:rsidRPr="00600E3E" w:rsidRDefault="00C0001A" w:rsidP="00C0001A">
            <w:pPr>
              <w:pStyle w:val="Tabel-BrdtekstmedafstandptekstGaramond"/>
              <w:rPr>
                <w:i/>
              </w:rPr>
            </w:pPr>
            <w:r>
              <w:rPr>
                <w:i/>
              </w:rPr>
              <w:lastRenderedPageBreak/>
              <w:t>Dansk Byggeri</w:t>
            </w:r>
          </w:p>
        </w:tc>
        <w:tc>
          <w:tcPr>
            <w:tcW w:w="194" w:type="dxa"/>
            <w:shd w:val="clear" w:color="auto" w:fill="FFFFFF" w:themeFill="background1"/>
          </w:tcPr>
          <w:p w:rsidR="00C0001A" w:rsidRPr="00B5346F" w:rsidRDefault="00C0001A" w:rsidP="00122C71"/>
        </w:tc>
        <w:tc>
          <w:tcPr>
            <w:tcW w:w="3324" w:type="dxa"/>
            <w:tcBorders>
              <w:top w:val="single" w:sz="4" w:space="0" w:color="D1C5C3" w:themeColor="accent3"/>
              <w:bottom w:val="single" w:sz="4" w:space="0" w:color="D1C5C3" w:themeColor="accent3"/>
            </w:tcBorders>
            <w:shd w:val="clear" w:color="auto" w:fill="FBF9F9"/>
          </w:tcPr>
          <w:p w:rsidR="00672245" w:rsidRPr="00672245" w:rsidRDefault="00672245" w:rsidP="00672245">
            <w:pPr>
              <w:pStyle w:val="Tabel-BrdtekstmedafstandptekstGaramond"/>
              <w:rPr>
                <w:b/>
              </w:rPr>
            </w:pPr>
            <w:r w:rsidRPr="00672245">
              <w:rPr>
                <w:b/>
              </w:rPr>
              <w:t>Generelle bemærkninger</w:t>
            </w:r>
          </w:p>
          <w:p w:rsidR="0083221A" w:rsidRDefault="00836932" w:rsidP="00672245">
            <w:pPr>
              <w:pStyle w:val="Tabel-BrdtekstmedafstandptekstGaramond"/>
            </w:pPr>
            <w:r>
              <w:t>Dansk Byggeri anfører, at der med</w:t>
            </w:r>
            <w:r w:rsidRPr="00672245">
              <w:t xml:space="preserve"> </w:t>
            </w:r>
            <w:r w:rsidR="00672245" w:rsidRPr="00672245">
              <w:t>lovforslaget sker en stra</w:t>
            </w:r>
            <w:r w:rsidR="00672245" w:rsidRPr="00672245">
              <w:t>m</w:t>
            </w:r>
            <w:r w:rsidR="00672245" w:rsidRPr="00672245">
              <w:t>ning af skattereglerne for alme</w:t>
            </w:r>
            <w:r w:rsidR="00672245" w:rsidRPr="00672245">
              <w:t>n</w:t>
            </w:r>
            <w:r w:rsidR="00672245" w:rsidRPr="00672245">
              <w:t xml:space="preserve">nyttige fonde. </w:t>
            </w:r>
            <w:r w:rsidR="0083221A" w:rsidRPr="0083221A">
              <w:t>Da fonde</w:t>
            </w:r>
            <w:r w:rsidR="0083221A">
              <w:t>ne</w:t>
            </w:r>
            <w:r w:rsidR="0083221A" w:rsidRPr="0083221A">
              <w:t>s fo</w:t>
            </w:r>
            <w:r w:rsidR="0083221A" w:rsidRPr="0083221A">
              <w:t>r</w:t>
            </w:r>
            <w:r w:rsidR="0083221A" w:rsidRPr="0083221A">
              <w:t>mål er at uddele midler til alme</w:t>
            </w:r>
            <w:r w:rsidR="0083221A" w:rsidRPr="0083221A">
              <w:t>n</w:t>
            </w:r>
            <w:r w:rsidR="0083221A" w:rsidRPr="0083221A">
              <w:t xml:space="preserve">nyttige og </w:t>
            </w:r>
            <w:r w:rsidR="005809A3" w:rsidRPr="0083221A">
              <w:t>almenvelgørende fo</w:t>
            </w:r>
            <w:r w:rsidR="005809A3" w:rsidRPr="0083221A">
              <w:t>r</w:t>
            </w:r>
            <w:r w:rsidR="005809A3" w:rsidRPr="0083221A">
              <w:t>mål</w:t>
            </w:r>
            <w:r w:rsidR="0083221A" w:rsidRPr="0083221A">
              <w:t>, vil forslaget ikke alene p</w:t>
            </w:r>
            <w:r w:rsidR="0083221A" w:rsidRPr="0083221A">
              <w:t>å</w:t>
            </w:r>
            <w:r w:rsidR="0083221A" w:rsidRPr="0083221A">
              <w:t>virke fondene, men også modt</w:t>
            </w:r>
            <w:r w:rsidR="0083221A" w:rsidRPr="0083221A">
              <w:t>a</w:t>
            </w:r>
            <w:r w:rsidR="0083221A" w:rsidRPr="0083221A">
              <w:t>gerne af fondsuddelingerne, som der fremover vil være mindre til.</w:t>
            </w:r>
          </w:p>
          <w:p w:rsidR="0083221A" w:rsidRPr="00672245" w:rsidRDefault="0083221A" w:rsidP="00672245">
            <w:pPr>
              <w:pStyle w:val="Tabel-BrdtekstmedafstandptekstGaramond"/>
            </w:pPr>
          </w:p>
          <w:p w:rsidR="00585485" w:rsidRPr="00672245" w:rsidRDefault="00672245" w:rsidP="00585485">
            <w:pPr>
              <w:pStyle w:val="Tabel-BrdtekstmedafstandptekstGaramond"/>
            </w:pPr>
            <w:r w:rsidRPr="00672245">
              <w:t xml:space="preserve">Dansk Byggeri </w:t>
            </w:r>
            <w:r w:rsidR="00585485">
              <w:t>kritiserer den m</w:t>
            </w:r>
            <w:r w:rsidR="00585485">
              <w:t>e</w:t>
            </w:r>
            <w:r w:rsidR="00585485">
              <w:t xml:space="preserve">get korte høringsfrist og finder </w:t>
            </w:r>
          </w:p>
          <w:p w:rsidR="0083221A" w:rsidRDefault="00672245" w:rsidP="0083221A">
            <w:pPr>
              <w:pStyle w:val="Tabel-BrdtekstmedafstandptekstGaramond"/>
            </w:pPr>
            <w:r w:rsidRPr="00672245">
              <w:t>det beklageligt, at man har valgt at haste et lovforslag igennem, som har vidtrækkende økonom</w:t>
            </w:r>
            <w:r w:rsidRPr="00672245">
              <w:t>i</w:t>
            </w:r>
            <w:r w:rsidRPr="00672245">
              <w:t>ske konsekvenser for erhvervsl</w:t>
            </w:r>
            <w:r w:rsidRPr="00672245">
              <w:t>i</w:t>
            </w:r>
            <w:r w:rsidRPr="00672245">
              <w:t>vet</w:t>
            </w:r>
            <w:r w:rsidR="00585485">
              <w:t>. Det påpeges desuden, at d</w:t>
            </w:r>
            <w:r w:rsidRPr="00672245">
              <w:t>et ikke virker åbenlyst nødvendigt</w:t>
            </w:r>
            <w:r w:rsidR="0083221A">
              <w:t xml:space="preserve">, at ændringerne </w:t>
            </w:r>
            <w:r w:rsidR="00585485">
              <w:t xml:space="preserve">skal </w:t>
            </w:r>
            <w:r w:rsidR="0083221A">
              <w:t>træde i kraft den</w:t>
            </w:r>
            <w:r w:rsidRPr="00672245">
              <w:t xml:space="preserve"> 1. januar 2016. </w:t>
            </w:r>
            <w:r w:rsidR="00585485">
              <w:t>Dansk Bygg</w:t>
            </w:r>
            <w:r w:rsidR="00585485">
              <w:t>e</w:t>
            </w:r>
            <w:r w:rsidR="00585485">
              <w:t xml:space="preserve">ri </w:t>
            </w:r>
            <w:r w:rsidRPr="00672245">
              <w:t>anbefale</w:t>
            </w:r>
            <w:r w:rsidR="00585485">
              <w:t>r</w:t>
            </w:r>
            <w:r w:rsidRPr="00672245">
              <w:t xml:space="preserve"> derfor, at </w:t>
            </w:r>
            <w:r w:rsidR="0083221A" w:rsidRPr="0083221A">
              <w:t>behandli</w:t>
            </w:r>
            <w:r w:rsidR="0083221A" w:rsidRPr="0083221A">
              <w:t>n</w:t>
            </w:r>
            <w:r w:rsidR="0083221A" w:rsidRPr="0083221A">
              <w:t>g</w:t>
            </w:r>
            <w:r w:rsidR="00585485">
              <w:t>en</w:t>
            </w:r>
            <w:r w:rsidR="0083221A" w:rsidRPr="0083221A">
              <w:t xml:space="preserve"> af lovforslaget udskydes til foråret 2016.</w:t>
            </w:r>
          </w:p>
          <w:p w:rsidR="00585485" w:rsidRDefault="00585485" w:rsidP="0083221A">
            <w:pPr>
              <w:pStyle w:val="Tabel-BrdtekstmedafstandptekstGaramond"/>
            </w:pPr>
          </w:p>
          <w:p w:rsidR="00F3630C" w:rsidRDefault="00F3630C" w:rsidP="00394E42">
            <w:pPr>
              <w:pStyle w:val="Tabel-BrdtekstmedafstandptekstGaramond"/>
              <w:rPr>
                <w:b/>
              </w:rPr>
            </w:pPr>
          </w:p>
          <w:p w:rsidR="00394E42" w:rsidRPr="00394E42" w:rsidRDefault="00394E42" w:rsidP="00394E42">
            <w:pPr>
              <w:pStyle w:val="Tabel-BrdtekstmedafstandptekstGaramond"/>
              <w:rPr>
                <w:b/>
              </w:rPr>
            </w:pPr>
            <w:r w:rsidRPr="00394E42">
              <w:rPr>
                <w:b/>
              </w:rPr>
              <w:t>Konsolideringsreglen</w:t>
            </w:r>
          </w:p>
          <w:p w:rsidR="0083221A" w:rsidRDefault="00836932" w:rsidP="00394E42">
            <w:pPr>
              <w:pStyle w:val="Tabel-BrdtekstmedafstandptekstGaramond"/>
            </w:pPr>
            <w:r>
              <w:t>Dansk Byggeri anfører, at k</w:t>
            </w:r>
            <w:r w:rsidRPr="00394E42">
              <w:t>ons</w:t>
            </w:r>
            <w:r w:rsidRPr="00394E42">
              <w:t>o</w:t>
            </w:r>
            <w:r w:rsidRPr="00394E42">
              <w:t xml:space="preserve">lideringsreglen </w:t>
            </w:r>
            <w:r w:rsidR="00394E42" w:rsidRPr="00394E42">
              <w:t>sikrer almennytt</w:t>
            </w:r>
            <w:r w:rsidR="00394E42" w:rsidRPr="00394E42">
              <w:t>i</w:t>
            </w:r>
            <w:r w:rsidR="00394E42" w:rsidRPr="00394E42">
              <w:t xml:space="preserve">ge fonde mod en udhuling af fondskapitalen. </w:t>
            </w:r>
            <w:r w:rsidR="00394E42">
              <w:t xml:space="preserve">Hvis reglen </w:t>
            </w:r>
            <w:r w:rsidR="00394E42" w:rsidRPr="00394E42">
              <w:t>fje</w:t>
            </w:r>
            <w:r w:rsidR="00394E42" w:rsidRPr="00394E42">
              <w:t>r</w:t>
            </w:r>
            <w:r w:rsidR="00394E42" w:rsidRPr="00394E42">
              <w:t xml:space="preserve">nes, vil konsekvensen være, at der fremadrettet vil være færre </w:t>
            </w:r>
            <w:r w:rsidR="00394E42">
              <w:lastRenderedPageBreak/>
              <w:t>midler til ud</w:t>
            </w:r>
            <w:r w:rsidR="00394E42" w:rsidRPr="00394E42">
              <w:t>delinger, idet en del af bidragene vil gå til at konsol</w:t>
            </w:r>
            <w:r w:rsidR="00394E42" w:rsidRPr="00394E42">
              <w:t>i</w:t>
            </w:r>
            <w:r w:rsidR="00394E42" w:rsidRPr="00394E42">
              <w:t>dere fonden. Der er derfor risiko for, at bidragene til fondene fremadrettet bliver mindre, bl.a. når bidragsyderne oplyses om, at 25 pct. af deres bidrag ikke vil gå til uddelinger, men til konsolid</w:t>
            </w:r>
            <w:r w:rsidR="00394E42" w:rsidRPr="00394E42">
              <w:t>e</w:t>
            </w:r>
            <w:r w:rsidR="00394E42" w:rsidRPr="00394E42">
              <w:t>ring.</w:t>
            </w:r>
          </w:p>
          <w:p w:rsidR="00BE4B64" w:rsidRDefault="00BE4B64" w:rsidP="00394E42">
            <w:pPr>
              <w:pStyle w:val="Tabel-BrdtekstmedafstandptekstGaramond"/>
            </w:pPr>
          </w:p>
          <w:p w:rsidR="00BE4B64" w:rsidRPr="00BE4B64" w:rsidRDefault="00BE4B64" w:rsidP="00BE4B64">
            <w:pPr>
              <w:pStyle w:val="Tabel-BrdtekstmedafstandptekstGaramond"/>
            </w:pPr>
            <w:r w:rsidRPr="00BE4B64">
              <w:rPr>
                <w:b/>
              </w:rPr>
              <w:t>Overførselsreglen</w:t>
            </w:r>
          </w:p>
          <w:p w:rsidR="00BE4B64" w:rsidRDefault="00836932" w:rsidP="00BE4B64">
            <w:pPr>
              <w:pStyle w:val="Tabel-BrdtekstmedafstandptekstGaramond"/>
            </w:pPr>
            <w:r>
              <w:t>Dansk B</w:t>
            </w:r>
            <w:r w:rsidR="00C467AA">
              <w:t>y</w:t>
            </w:r>
            <w:r>
              <w:t>ggeri påpeger, at o</w:t>
            </w:r>
            <w:r w:rsidRPr="00BE4B64">
              <w:t>ve</w:t>
            </w:r>
            <w:r w:rsidRPr="00BE4B64">
              <w:t>r</w:t>
            </w:r>
            <w:r w:rsidRPr="00BE4B64">
              <w:t xml:space="preserve">førselsreglen </w:t>
            </w:r>
            <w:r w:rsidR="00BE4B64" w:rsidRPr="00BE4B64">
              <w:t>er en regel, der si</w:t>
            </w:r>
            <w:r w:rsidR="00BE4B64" w:rsidRPr="00BE4B64">
              <w:t>k</w:t>
            </w:r>
            <w:r w:rsidR="00BE4B64" w:rsidRPr="00BE4B64">
              <w:t>rer skattemæssig ligestilling</w:t>
            </w:r>
            <w:r w:rsidR="00BE4B64">
              <w:t>,</w:t>
            </w:r>
            <w:r w:rsidR="00BE4B64" w:rsidRPr="00BE4B64">
              <w:t xml:space="preserve"> li</w:t>
            </w:r>
            <w:r w:rsidR="00BE4B64">
              <w:t>g</w:t>
            </w:r>
            <w:r w:rsidR="00BE4B64">
              <w:t>e</w:t>
            </w:r>
            <w:r w:rsidR="00BE4B64" w:rsidRPr="00BE4B64">
              <w:t>gyldigt om en fond har sin aktiv</w:t>
            </w:r>
            <w:r w:rsidR="00BE4B64" w:rsidRPr="00BE4B64">
              <w:t>i</w:t>
            </w:r>
            <w:r w:rsidR="00BE4B64" w:rsidRPr="00BE4B64">
              <w:t>tet i selve fonden eller i et eller flere datterselskaber. Reglen si</w:t>
            </w:r>
            <w:r w:rsidR="00BE4B64" w:rsidRPr="00BE4B64">
              <w:t>k</w:t>
            </w:r>
            <w:r w:rsidR="00BE4B64" w:rsidRPr="00BE4B64">
              <w:t xml:space="preserve">rer dermed, at en </w:t>
            </w:r>
            <w:r w:rsidR="00BE4B64">
              <w:t>f</w:t>
            </w:r>
            <w:r w:rsidR="00BE4B64" w:rsidRPr="00BE4B64">
              <w:t>ond/virksomhed kan have den optimale virksomhedsstruktur uden at tænke på de skattemæss</w:t>
            </w:r>
            <w:r w:rsidR="00BE4B64" w:rsidRPr="00BE4B64">
              <w:t>i</w:t>
            </w:r>
            <w:r w:rsidR="00BE4B64" w:rsidRPr="00BE4B64">
              <w:t xml:space="preserve">ge konsekvenser. </w:t>
            </w:r>
          </w:p>
          <w:p w:rsidR="00BE4B64" w:rsidRDefault="00BE4B64" w:rsidP="00BE4B64">
            <w:pPr>
              <w:pStyle w:val="Tabel-BrdtekstmedafstandptekstGaramond"/>
            </w:pPr>
          </w:p>
          <w:p w:rsidR="00BE4B64" w:rsidRDefault="00BE4B64" w:rsidP="00BE4B64">
            <w:pPr>
              <w:pStyle w:val="Tabel-BrdtekstmedafstandptekstGaramond"/>
            </w:pPr>
            <w:r>
              <w:t>Hvis overførsels</w:t>
            </w:r>
            <w:r w:rsidRPr="00BE4B64">
              <w:t xml:space="preserve">reglen </w:t>
            </w:r>
            <w:r>
              <w:t>ophæves</w:t>
            </w:r>
            <w:r w:rsidRPr="00BE4B64">
              <w:t>, risikeres det, at en række fonde, for at undgå beskatning, ændrer deres virksomhedsstruktur ved at fusi</w:t>
            </w:r>
            <w:r>
              <w:t>one</w:t>
            </w:r>
            <w:r w:rsidRPr="00BE4B64">
              <w:t>re deres driftsdatterse</w:t>
            </w:r>
            <w:r w:rsidRPr="00BE4B64">
              <w:t>l</w:t>
            </w:r>
            <w:r w:rsidRPr="00BE4B64">
              <w:t>skaber ind i fonden. Det vil ind</w:t>
            </w:r>
            <w:r w:rsidRPr="00BE4B64">
              <w:t>e</w:t>
            </w:r>
            <w:r w:rsidRPr="00BE4B64">
              <w:t>bære, at en række fonde får en struktur, der ikke er optimal, som følge af den skattemæssige fo</w:t>
            </w:r>
            <w:r w:rsidRPr="00BE4B64">
              <w:t>r</w:t>
            </w:r>
            <w:r w:rsidRPr="00BE4B64">
              <w:t xml:space="preserve">vridning. </w:t>
            </w:r>
          </w:p>
          <w:p w:rsidR="00BE4B64" w:rsidRDefault="00BE4B64" w:rsidP="00BE4B64">
            <w:pPr>
              <w:pStyle w:val="Tabel-BrdtekstmedafstandptekstGaramond"/>
            </w:pPr>
          </w:p>
          <w:p w:rsidR="00BE4B64" w:rsidRPr="00BE4B64" w:rsidRDefault="00BE4B64" w:rsidP="00BE4B64">
            <w:pPr>
              <w:pStyle w:val="Tabel-BrdtekstmedafstandptekstGaramond"/>
            </w:pPr>
            <w:r w:rsidRPr="00BE4B64">
              <w:t>Dansk Byggeri anbe</w:t>
            </w:r>
            <w:r>
              <w:t>fa</w:t>
            </w:r>
            <w:r w:rsidRPr="00BE4B64">
              <w:t xml:space="preserve">ler på den baggrund, at man fastholder </w:t>
            </w:r>
            <w:r>
              <w:t>overførsels</w:t>
            </w:r>
            <w:r w:rsidRPr="00BE4B64">
              <w:t>reglen, da det ellers vil medføre store administrative byrder for de berørte fonde. De</w:t>
            </w:r>
            <w:r w:rsidRPr="00BE4B64">
              <w:t>r</w:t>
            </w:r>
            <w:r w:rsidRPr="00BE4B64">
              <w:t xml:space="preserve">til kommer, at provenuskønnet på 150 mio. kr. årligt for denne del af lovforslaget forekommer både usikkert og optimistisk, da det må forventes, at flere fonde </w:t>
            </w:r>
            <w:r w:rsidRPr="00BE4B64">
              <w:lastRenderedPageBreak/>
              <w:t>vil foretage selskabsmæssige o</w:t>
            </w:r>
            <w:r w:rsidRPr="00BE4B64">
              <w:t>m</w:t>
            </w:r>
            <w:r w:rsidRPr="00BE4B64">
              <w:t>struktu</w:t>
            </w:r>
            <w:r>
              <w:t>reringer, så aktivite</w:t>
            </w:r>
            <w:r w:rsidRPr="00BE4B64">
              <w:t xml:space="preserve">ten </w:t>
            </w:r>
            <w:r>
              <w:t>placeres</w:t>
            </w:r>
            <w:r w:rsidRPr="00BE4B64">
              <w:t xml:space="preserve"> i selve fonden </w:t>
            </w:r>
            <w:r>
              <w:t>og ikke</w:t>
            </w:r>
            <w:r w:rsidRPr="00BE4B64">
              <w:t xml:space="preserve"> i driftsdatterselskaber. </w:t>
            </w:r>
            <w:r>
              <w:t>Gennemf</w:t>
            </w:r>
            <w:r>
              <w:t>ø</w:t>
            </w:r>
            <w:r>
              <w:t>res sådanne omstruktureringer, vil der ikke – som forudsat – v</w:t>
            </w:r>
            <w:r>
              <w:t>æ</w:t>
            </w:r>
            <w:r>
              <w:t>re noget merprovenuet ved en ophævelse af reglen.</w:t>
            </w:r>
          </w:p>
        </w:tc>
        <w:tc>
          <w:tcPr>
            <w:tcW w:w="209" w:type="dxa"/>
            <w:shd w:val="clear" w:color="auto" w:fill="FFFFFF" w:themeFill="background1"/>
          </w:tcPr>
          <w:p w:rsidR="00C0001A" w:rsidRPr="00B5346F" w:rsidRDefault="00C0001A" w:rsidP="00122C71"/>
        </w:tc>
        <w:tc>
          <w:tcPr>
            <w:tcW w:w="3259" w:type="dxa"/>
            <w:tcBorders>
              <w:top w:val="single" w:sz="4" w:space="0" w:color="14143C" w:themeColor="accent1"/>
              <w:bottom w:val="single" w:sz="4" w:space="0" w:color="14143C" w:themeColor="accent1"/>
            </w:tcBorders>
            <w:shd w:val="clear" w:color="auto" w:fill="D2CED8"/>
          </w:tcPr>
          <w:p w:rsidR="00512E3A" w:rsidRDefault="00512E3A" w:rsidP="00122C71">
            <w:pPr>
              <w:pStyle w:val="Tabel-BrdtekstmedafstandptekstGaramond"/>
            </w:pPr>
          </w:p>
          <w:p w:rsidR="00C0001A" w:rsidRDefault="00512E3A" w:rsidP="00122C71">
            <w:pPr>
              <w:pStyle w:val="Tabel-BrdtekstmedafstandptekstGaramond"/>
            </w:pPr>
            <w:r>
              <w:t>Der henvises til kommentaren til Akademikerne.</w:t>
            </w:r>
          </w:p>
          <w:p w:rsidR="00C50726" w:rsidRDefault="00C50726" w:rsidP="00122C71">
            <w:pPr>
              <w:pStyle w:val="Tabel-BrdtekstmedafstandptekstGaramond"/>
            </w:pPr>
          </w:p>
          <w:p w:rsidR="00C50726" w:rsidRDefault="00C50726" w:rsidP="00122C71">
            <w:pPr>
              <w:pStyle w:val="Tabel-BrdtekstmedafstandptekstGaramond"/>
            </w:pPr>
          </w:p>
          <w:p w:rsidR="00C50726" w:rsidRDefault="00C50726" w:rsidP="00122C71">
            <w:pPr>
              <w:pStyle w:val="Tabel-BrdtekstmedafstandptekstGaramond"/>
            </w:pPr>
          </w:p>
          <w:p w:rsidR="00C50726" w:rsidRDefault="00C50726" w:rsidP="00122C71">
            <w:pPr>
              <w:pStyle w:val="Tabel-BrdtekstmedafstandptekstGaramond"/>
            </w:pPr>
          </w:p>
          <w:p w:rsidR="00C50726" w:rsidRDefault="00C50726" w:rsidP="00122C71">
            <w:pPr>
              <w:pStyle w:val="Tabel-BrdtekstmedafstandptekstGaramond"/>
            </w:pPr>
          </w:p>
          <w:p w:rsidR="00C50726" w:rsidRDefault="00C50726" w:rsidP="00122C71">
            <w:pPr>
              <w:pStyle w:val="Tabel-BrdtekstmedafstandptekstGaramond"/>
            </w:pPr>
          </w:p>
          <w:p w:rsidR="00C50726" w:rsidRDefault="00C50726" w:rsidP="00122C71">
            <w:pPr>
              <w:pStyle w:val="Tabel-BrdtekstmedafstandptekstGaramond"/>
            </w:pPr>
          </w:p>
          <w:p w:rsidR="00C50726" w:rsidRDefault="00C50726" w:rsidP="00122C71">
            <w:pPr>
              <w:pStyle w:val="Tabel-BrdtekstmedafstandptekstGaramond"/>
            </w:pPr>
          </w:p>
          <w:p w:rsidR="00C50726" w:rsidRDefault="00C50726" w:rsidP="00122C71">
            <w:pPr>
              <w:pStyle w:val="Tabel-BrdtekstmedafstandptekstGaramond"/>
            </w:pPr>
          </w:p>
          <w:p w:rsidR="00363175" w:rsidRDefault="00363175" w:rsidP="00122C71">
            <w:pPr>
              <w:pStyle w:val="Tabel-BrdtekstmedafstandptekstGaramond"/>
            </w:pPr>
            <w:r>
              <w:t>Til kritikken af den forkortede høringsfrist henvises til ko</w:t>
            </w:r>
            <w:r>
              <w:t>m</w:t>
            </w:r>
            <w:r>
              <w:t>mentaren til CEPOS.</w:t>
            </w:r>
          </w:p>
          <w:p w:rsidR="00363175" w:rsidRDefault="00363175" w:rsidP="00122C71">
            <w:pPr>
              <w:pStyle w:val="Tabel-BrdtekstmedafstandptekstGaramond"/>
            </w:pPr>
          </w:p>
          <w:p w:rsidR="003F1CA7" w:rsidRDefault="00363175" w:rsidP="00122C71">
            <w:pPr>
              <w:pStyle w:val="Tabel-BrdtekstmedafstandptekstGaramond"/>
            </w:pPr>
            <w:r>
              <w:t xml:space="preserve">Til det anførte om de foreslåede reglers ikrafttrædelsestidspunkt </w:t>
            </w:r>
            <w:r w:rsidR="00D96942">
              <w:t>bemærkes, at lovforslaget indgår som en del af udmøntningen af finanslovsaftalen for 2016. For så vidt angår virkningstidspun</w:t>
            </w:r>
            <w:r w:rsidR="00D96942">
              <w:t>k</w:t>
            </w:r>
            <w:r w:rsidR="00D96942">
              <w:t>tet for ophævelsen af konsolid</w:t>
            </w:r>
            <w:r w:rsidR="00D96942">
              <w:t>e</w:t>
            </w:r>
            <w:r w:rsidR="00D96942">
              <w:t>ringsfradraget kan der henvises til kommentaren til Carlsber</w:t>
            </w:r>
            <w:r w:rsidR="00D96942">
              <w:t>g</w:t>
            </w:r>
            <w:r w:rsidR="00D96942">
              <w:t>fondet.</w:t>
            </w:r>
          </w:p>
          <w:p w:rsidR="003F1CA7" w:rsidRDefault="003F1CA7" w:rsidP="00122C71">
            <w:pPr>
              <w:pStyle w:val="Tabel-BrdtekstmedafstandptekstGaramond"/>
            </w:pPr>
          </w:p>
          <w:p w:rsidR="003F1CA7" w:rsidRDefault="003F1CA7" w:rsidP="00122C71">
            <w:pPr>
              <w:pStyle w:val="Tabel-BrdtekstmedafstandptekstGaramond"/>
            </w:pPr>
          </w:p>
          <w:p w:rsidR="003F1CA7" w:rsidRDefault="001465F2" w:rsidP="00122C71">
            <w:pPr>
              <w:pStyle w:val="Tabel-BrdtekstmedafstandptekstGaramond"/>
            </w:pPr>
            <w:r>
              <w:t xml:space="preserve">Der henvises til kommentaren til </w:t>
            </w:r>
            <w:r w:rsidRPr="001465F2">
              <w:t>Novo Nordisk Fonden, Villum Fonden og Lundbeckfonden</w:t>
            </w:r>
            <w:r>
              <w:t>.</w:t>
            </w:r>
          </w:p>
          <w:p w:rsidR="001465F2" w:rsidRDefault="001465F2" w:rsidP="00122C71">
            <w:pPr>
              <w:pStyle w:val="Tabel-BrdtekstmedafstandptekstGaramond"/>
            </w:pPr>
          </w:p>
          <w:p w:rsidR="001465F2" w:rsidRDefault="001465F2" w:rsidP="00122C71">
            <w:pPr>
              <w:pStyle w:val="Tabel-BrdtekstmedafstandptekstGaramond"/>
            </w:pPr>
          </w:p>
          <w:p w:rsidR="001465F2" w:rsidRDefault="001465F2" w:rsidP="00122C71">
            <w:pPr>
              <w:pStyle w:val="Tabel-BrdtekstmedafstandptekstGaramond"/>
            </w:pPr>
          </w:p>
          <w:p w:rsidR="001465F2" w:rsidRDefault="001465F2" w:rsidP="00122C71">
            <w:pPr>
              <w:pStyle w:val="Tabel-BrdtekstmedafstandptekstGaramond"/>
            </w:pPr>
          </w:p>
          <w:p w:rsidR="001465F2" w:rsidRDefault="001465F2" w:rsidP="00122C71">
            <w:pPr>
              <w:pStyle w:val="Tabel-BrdtekstmedafstandptekstGaramond"/>
            </w:pPr>
          </w:p>
          <w:p w:rsidR="001465F2" w:rsidRDefault="001465F2" w:rsidP="00122C71">
            <w:pPr>
              <w:pStyle w:val="Tabel-BrdtekstmedafstandptekstGaramond"/>
            </w:pPr>
          </w:p>
          <w:p w:rsidR="001465F2" w:rsidRDefault="001465F2" w:rsidP="00122C71">
            <w:pPr>
              <w:pStyle w:val="Tabel-BrdtekstmedafstandptekstGaramond"/>
            </w:pPr>
          </w:p>
          <w:p w:rsidR="001465F2" w:rsidRDefault="001465F2" w:rsidP="00122C71">
            <w:pPr>
              <w:pStyle w:val="Tabel-BrdtekstmedafstandptekstGaramond"/>
            </w:pPr>
          </w:p>
          <w:p w:rsidR="00F3630C" w:rsidRDefault="00F3630C" w:rsidP="001465F2">
            <w:pPr>
              <w:pStyle w:val="Tabel-BrdtekstmedafstandptekstGaramond"/>
            </w:pPr>
          </w:p>
          <w:p w:rsidR="00F3630C" w:rsidRDefault="00F3630C" w:rsidP="001465F2">
            <w:pPr>
              <w:pStyle w:val="Tabel-BrdtekstmedafstandptekstGaramond"/>
            </w:pPr>
          </w:p>
          <w:p w:rsidR="00F3630C" w:rsidRDefault="00F3630C" w:rsidP="001465F2">
            <w:pPr>
              <w:pStyle w:val="Tabel-BrdtekstmedafstandptekstGaramond"/>
            </w:pPr>
          </w:p>
          <w:p w:rsidR="00F3630C" w:rsidRDefault="00F3630C" w:rsidP="001465F2">
            <w:pPr>
              <w:pStyle w:val="Tabel-BrdtekstmedafstandptekstGaramond"/>
            </w:pPr>
          </w:p>
          <w:p w:rsidR="00F3630C" w:rsidRDefault="00F3630C" w:rsidP="001465F2">
            <w:pPr>
              <w:pStyle w:val="Tabel-BrdtekstmedafstandptekstGaramond"/>
            </w:pPr>
          </w:p>
          <w:p w:rsidR="0087656B" w:rsidRDefault="0087656B" w:rsidP="001465F2">
            <w:pPr>
              <w:pStyle w:val="Tabel-BrdtekstmedafstandptekstGaramond"/>
            </w:pPr>
          </w:p>
          <w:p w:rsidR="001465F2" w:rsidRDefault="001C4C7A" w:rsidP="001465F2">
            <w:pPr>
              <w:pStyle w:val="Tabel-BrdtekstmedafstandptekstGaramond"/>
            </w:pPr>
            <w:r>
              <w:t xml:space="preserve">Regeringen </w:t>
            </w:r>
            <w:r w:rsidR="001465F2">
              <w:t>vil til 2. behandli</w:t>
            </w:r>
            <w:r w:rsidR="001465F2">
              <w:t>n</w:t>
            </w:r>
            <w:r w:rsidR="001465F2">
              <w:t xml:space="preserve">gen af lovforslaget </w:t>
            </w:r>
            <w:r>
              <w:t>stille</w:t>
            </w:r>
            <w:r w:rsidR="001465F2">
              <w:t xml:space="preserve"> </w:t>
            </w:r>
            <w:r w:rsidR="00E365B7">
              <w:t xml:space="preserve">et </w:t>
            </w:r>
            <w:r w:rsidR="001465F2">
              <w:t>æ</w:t>
            </w:r>
            <w:r w:rsidR="001465F2">
              <w:t>n</w:t>
            </w:r>
            <w:r w:rsidR="001465F2">
              <w:t xml:space="preserve">dringsforslag </w:t>
            </w:r>
            <w:r w:rsidR="001465F2" w:rsidRPr="001465F2">
              <w:t>om, at den foresl</w:t>
            </w:r>
            <w:r w:rsidR="001465F2" w:rsidRPr="001465F2">
              <w:t>å</w:t>
            </w:r>
            <w:r w:rsidR="001465F2" w:rsidRPr="001465F2">
              <w:t>ede ophævelse af overførselsre</w:t>
            </w:r>
            <w:r w:rsidR="001465F2" w:rsidRPr="001465F2">
              <w:t>g</w:t>
            </w:r>
            <w:r w:rsidR="001465F2" w:rsidRPr="001465F2">
              <w:t xml:space="preserve">len udgår af </w:t>
            </w:r>
            <w:r w:rsidR="00B5688C">
              <w:t>lov</w:t>
            </w:r>
            <w:r w:rsidR="001465F2" w:rsidRPr="001465F2">
              <w:t>forslaget</w:t>
            </w:r>
            <w:r w:rsidR="001465F2">
              <w:t xml:space="preserve">. </w:t>
            </w:r>
          </w:p>
          <w:p w:rsidR="001465F2" w:rsidRDefault="001465F2" w:rsidP="001465F2">
            <w:pPr>
              <w:pStyle w:val="Tabel-BrdtekstmedafstandptekstGaramond"/>
            </w:pPr>
          </w:p>
          <w:p w:rsidR="001465F2" w:rsidRPr="00B5346F" w:rsidRDefault="00E31A18" w:rsidP="00E31A18">
            <w:pPr>
              <w:pStyle w:val="Tabel-BrdtekstmedafstandptekstGaramond"/>
            </w:pPr>
            <w:r>
              <w:t xml:space="preserve">Baggrunden herfor er nærmere beskrevet i </w:t>
            </w:r>
            <w:r w:rsidR="001465F2">
              <w:t xml:space="preserve">kommentaren til </w:t>
            </w:r>
            <w:r w:rsidR="001465F2" w:rsidRPr="001465F2">
              <w:t>D</w:t>
            </w:r>
            <w:r w:rsidR="001465F2" w:rsidRPr="001465F2">
              <w:t>e</w:t>
            </w:r>
            <w:r w:rsidR="001465F2" w:rsidRPr="001465F2">
              <w:t>loitte, EY, KPMG og PwC</w:t>
            </w:r>
            <w:r w:rsidR="001465F2">
              <w:t>.</w:t>
            </w:r>
          </w:p>
        </w:tc>
      </w:tr>
      <w:tr w:rsidR="009A36E0" w:rsidRPr="00B5346F" w:rsidTr="00C87589">
        <w:tc>
          <w:tcPr>
            <w:tcW w:w="2653" w:type="dxa"/>
            <w:tcBorders>
              <w:top w:val="single" w:sz="4" w:space="0" w:color="D1C5C3" w:themeColor="accent3"/>
              <w:bottom w:val="single" w:sz="4" w:space="0" w:color="D1C5C3" w:themeColor="accent3"/>
            </w:tcBorders>
            <w:shd w:val="clear" w:color="auto" w:fill="FBF9F9"/>
          </w:tcPr>
          <w:p w:rsidR="00C0001A" w:rsidRPr="00600E3E" w:rsidRDefault="00C0001A" w:rsidP="00C0001A">
            <w:pPr>
              <w:pStyle w:val="Tabel-BrdtekstmedafstandptekstGaramond"/>
              <w:rPr>
                <w:i/>
              </w:rPr>
            </w:pPr>
            <w:r>
              <w:rPr>
                <w:i/>
              </w:rPr>
              <w:lastRenderedPageBreak/>
              <w:t>Dansk Erhverv</w:t>
            </w:r>
          </w:p>
        </w:tc>
        <w:tc>
          <w:tcPr>
            <w:tcW w:w="194" w:type="dxa"/>
            <w:shd w:val="clear" w:color="auto" w:fill="FFFFFF" w:themeFill="background1"/>
          </w:tcPr>
          <w:p w:rsidR="00C0001A" w:rsidRPr="00B5346F" w:rsidRDefault="00C0001A" w:rsidP="00122C71"/>
        </w:tc>
        <w:tc>
          <w:tcPr>
            <w:tcW w:w="3324" w:type="dxa"/>
            <w:tcBorders>
              <w:top w:val="single" w:sz="4" w:space="0" w:color="D1C5C3" w:themeColor="accent3"/>
              <w:bottom w:val="single" w:sz="4" w:space="0" w:color="D1C5C3" w:themeColor="accent3"/>
            </w:tcBorders>
            <w:shd w:val="clear" w:color="auto" w:fill="FBF9F9"/>
          </w:tcPr>
          <w:p w:rsidR="00A74830" w:rsidRPr="00C76ABB" w:rsidRDefault="00A74830" w:rsidP="00C76ABB">
            <w:pPr>
              <w:pStyle w:val="Tabel-BrdtekstmedafstandptekstGaramond"/>
              <w:rPr>
                <w:b/>
              </w:rPr>
            </w:pPr>
            <w:r w:rsidRPr="00C76ABB">
              <w:rPr>
                <w:b/>
              </w:rPr>
              <w:t>Generelle bemærkninger</w:t>
            </w:r>
          </w:p>
          <w:p w:rsidR="00C0001A" w:rsidRDefault="00836932" w:rsidP="00C76ABB">
            <w:pPr>
              <w:pStyle w:val="Tabel-BrdtekstmedafstandptekstGaramond"/>
            </w:pPr>
            <w:r>
              <w:t xml:space="preserve">Dansk </w:t>
            </w:r>
            <w:r w:rsidR="00523C2A">
              <w:t>E</w:t>
            </w:r>
            <w:r>
              <w:t>rhverv tilkendegiver, at der med</w:t>
            </w:r>
            <w:r w:rsidRPr="00A74830">
              <w:t xml:space="preserve"> </w:t>
            </w:r>
            <w:r w:rsidR="00A74830" w:rsidRPr="00A74830">
              <w:t xml:space="preserve">lovforslaget sker en stramning af skattereglerne for almennyttige fonde. </w:t>
            </w:r>
            <w:r w:rsidR="00D21CAA">
              <w:t>Da</w:t>
            </w:r>
            <w:r w:rsidR="00A74830" w:rsidRPr="00A74830">
              <w:t xml:space="preserve"> </w:t>
            </w:r>
            <w:r w:rsidR="00D21CAA">
              <w:t xml:space="preserve">disse </w:t>
            </w:r>
            <w:r w:rsidR="00A74830" w:rsidRPr="00A74830">
              <w:t>fondes formål er at uddele midler til almennyttige</w:t>
            </w:r>
            <w:r w:rsidR="00D21CAA">
              <w:t xml:space="preserve"> – </w:t>
            </w:r>
            <w:r w:rsidR="00122C71">
              <w:t xml:space="preserve">og </w:t>
            </w:r>
            <w:r w:rsidR="00D21CAA">
              <w:t>herunder</w:t>
            </w:r>
            <w:r w:rsidR="00A74830" w:rsidRPr="00A74830">
              <w:t xml:space="preserve"> almenvelgørende</w:t>
            </w:r>
            <w:r w:rsidR="00D21CAA">
              <w:t xml:space="preserve"> –</w:t>
            </w:r>
            <w:r w:rsidR="00A74830" w:rsidRPr="00A74830">
              <w:t xml:space="preserve"> formål, vil </w:t>
            </w:r>
            <w:r w:rsidR="00D21CAA">
              <w:t xml:space="preserve">lovforslaget ikke alene påvirke fondene, men også </w:t>
            </w:r>
            <w:r w:rsidR="00A74830" w:rsidRPr="00A74830">
              <w:t>modtagerne</w:t>
            </w:r>
            <w:r w:rsidR="00D21CAA">
              <w:t xml:space="preserve"> </w:t>
            </w:r>
            <w:r w:rsidR="00A74830" w:rsidRPr="00A74830">
              <w:t>af fondsuddelinger</w:t>
            </w:r>
            <w:r w:rsidR="00D21CAA">
              <w:t>ne</w:t>
            </w:r>
            <w:r w:rsidR="00A74830" w:rsidRPr="00A74830">
              <w:t>, som der fremover vil være mindre til.</w:t>
            </w:r>
          </w:p>
          <w:p w:rsidR="00D21CAA" w:rsidRDefault="00D21CAA" w:rsidP="00C76ABB">
            <w:pPr>
              <w:pStyle w:val="Tabel-BrdtekstmedafstandptekstGaramond"/>
            </w:pPr>
          </w:p>
          <w:p w:rsidR="00D21CAA" w:rsidRDefault="00122C71" w:rsidP="00C76ABB">
            <w:pPr>
              <w:pStyle w:val="Tabel-BrdtekstmedafstandptekstGaramond"/>
            </w:pPr>
            <w:r>
              <w:t>Det</w:t>
            </w:r>
            <w:r w:rsidR="00D21CAA" w:rsidRPr="00D21CAA">
              <w:t xml:space="preserve"> </w:t>
            </w:r>
            <w:r>
              <w:t xml:space="preserve">kritiseres, at lovforslaget er sendt i høring med en meget kort høringsfrist. </w:t>
            </w:r>
            <w:r w:rsidR="00836932">
              <w:t>Dansk Erhverv fi</w:t>
            </w:r>
            <w:r w:rsidR="00836932">
              <w:t>n</w:t>
            </w:r>
            <w:r w:rsidR="00836932">
              <w:t xml:space="preserve">der, at det </w:t>
            </w:r>
            <w:r>
              <w:t xml:space="preserve">er </w:t>
            </w:r>
            <w:r w:rsidR="00D21CAA" w:rsidRPr="00D21CAA">
              <w:t>beklageligt, at man har valgt at haste et lovforslag igennem, som har så vidtrække</w:t>
            </w:r>
            <w:r w:rsidR="00D21CAA" w:rsidRPr="00D21CAA">
              <w:t>n</w:t>
            </w:r>
            <w:r w:rsidR="00D21CAA" w:rsidRPr="00D21CAA">
              <w:t>de konsekvenser både for</w:t>
            </w:r>
            <w:r>
              <w:t xml:space="preserve"> </w:t>
            </w:r>
            <w:r w:rsidR="00D21CAA" w:rsidRPr="00D21CAA">
              <w:t>en række</w:t>
            </w:r>
            <w:r>
              <w:t xml:space="preserve"> </w:t>
            </w:r>
            <w:r w:rsidR="00D21CAA" w:rsidRPr="00D21CAA">
              <w:t xml:space="preserve">fonde, men også for en lang række områder, der nyder gavn af </w:t>
            </w:r>
            <w:r>
              <w:t>de</w:t>
            </w:r>
            <w:r w:rsidR="00D21CAA" w:rsidRPr="00D21CAA">
              <w:t xml:space="preserve"> almennyt</w:t>
            </w:r>
            <w:r>
              <w:t>tige uddeli</w:t>
            </w:r>
            <w:r>
              <w:t>n</w:t>
            </w:r>
            <w:r>
              <w:t>ger</w:t>
            </w:r>
            <w:r w:rsidR="00D21CAA" w:rsidRPr="00D21CAA">
              <w:t>.</w:t>
            </w:r>
          </w:p>
          <w:p w:rsidR="00122C71" w:rsidRPr="00D21CAA" w:rsidRDefault="00122C71" w:rsidP="00C76ABB">
            <w:pPr>
              <w:pStyle w:val="Tabel-BrdtekstmedafstandptekstGaramond"/>
            </w:pPr>
          </w:p>
          <w:p w:rsidR="00D21CAA" w:rsidRDefault="00D21CAA" w:rsidP="00C76ABB">
            <w:pPr>
              <w:pStyle w:val="Tabel-BrdtekstmedafstandptekstGaramond"/>
            </w:pPr>
            <w:r w:rsidRPr="00D21CAA">
              <w:t>Vigtig erhvervsrettet lovgivning bør</w:t>
            </w:r>
            <w:r w:rsidR="00122C71">
              <w:t xml:space="preserve"> s</w:t>
            </w:r>
            <w:r w:rsidRPr="00D21CAA">
              <w:t>om udgangspunkt være drøftet med erhvervslivet inden</w:t>
            </w:r>
            <w:r w:rsidR="00122C71">
              <w:t xml:space="preserve"> </w:t>
            </w:r>
            <w:r w:rsidRPr="00D21CAA">
              <w:t>fremsættelse</w:t>
            </w:r>
            <w:r w:rsidR="00122C71">
              <w:t>n</w:t>
            </w:r>
            <w:r w:rsidRPr="00D21CAA">
              <w:t>. Subsidiært bør der sikres en tilpas lang høringsfrist. Ingen af delene ses opfyldt i</w:t>
            </w:r>
            <w:r w:rsidR="00122C71">
              <w:t xml:space="preserve"> </w:t>
            </w:r>
            <w:r w:rsidRPr="00D21CAA">
              <w:t>næ</w:t>
            </w:r>
            <w:r w:rsidRPr="00D21CAA">
              <w:t>r</w:t>
            </w:r>
            <w:r w:rsidRPr="00D21CAA">
              <w:t>værende lovforslag. Dansk E</w:t>
            </w:r>
            <w:r w:rsidRPr="00D21CAA">
              <w:t>r</w:t>
            </w:r>
            <w:r w:rsidRPr="00D21CAA">
              <w:t xml:space="preserve">hverv ser </w:t>
            </w:r>
            <w:r w:rsidR="00122C71">
              <w:t xml:space="preserve">i den forbindelse </w:t>
            </w:r>
            <w:r w:rsidRPr="00D21CAA">
              <w:t xml:space="preserve">ikke nogen umiddelbar grund til, at </w:t>
            </w:r>
            <w:r w:rsidRPr="00D21CAA">
              <w:lastRenderedPageBreak/>
              <w:t>lovforslaget skal</w:t>
            </w:r>
            <w:r w:rsidR="00122C71">
              <w:t xml:space="preserve"> </w:t>
            </w:r>
            <w:r w:rsidR="00A32B33">
              <w:t>vedtages</w:t>
            </w:r>
            <w:r w:rsidRPr="00D21CAA">
              <w:t xml:space="preserve"> før jul med ikrafttræden 1. januar, og </w:t>
            </w:r>
            <w:r w:rsidR="00A32B33">
              <w:t xml:space="preserve">det </w:t>
            </w:r>
            <w:r w:rsidRPr="00D21CAA">
              <w:t>anbefale</w:t>
            </w:r>
            <w:r w:rsidR="00A32B33">
              <w:t>s derfor</w:t>
            </w:r>
            <w:r w:rsidRPr="00D21CAA">
              <w:t xml:space="preserve">, at </w:t>
            </w:r>
            <w:r w:rsidR="00A32B33">
              <w:t>Folketi</w:t>
            </w:r>
            <w:r w:rsidR="00A32B33">
              <w:t>n</w:t>
            </w:r>
            <w:r w:rsidR="00A32B33">
              <w:t>gets behandling</w:t>
            </w:r>
            <w:r w:rsidRPr="00D21CAA">
              <w:t xml:space="preserve"> af lovforslaget </w:t>
            </w:r>
            <w:r w:rsidR="00A32B33">
              <w:t xml:space="preserve">udskydes </w:t>
            </w:r>
            <w:r w:rsidRPr="00D21CAA">
              <w:t>til foråret 2016.</w:t>
            </w:r>
          </w:p>
          <w:p w:rsidR="00A32B33" w:rsidRDefault="00A32B33" w:rsidP="00C76ABB">
            <w:pPr>
              <w:pStyle w:val="Tabel-BrdtekstmedafstandptekstGaramond"/>
            </w:pPr>
          </w:p>
          <w:p w:rsidR="008F0B60" w:rsidRDefault="008D7934" w:rsidP="008110A6">
            <w:pPr>
              <w:pStyle w:val="Tabel-BrdtekstmedafstandptekstGaramond"/>
            </w:pPr>
            <w:r w:rsidRPr="008D7934">
              <w:t>Dansk Erhverv mener</w:t>
            </w:r>
            <w:r>
              <w:t xml:space="preserve"> i øvrigt</w:t>
            </w:r>
            <w:r w:rsidRPr="008D7934">
              <w:t>, at det er mærkværdigt og retssi</w:t>
            </w:r>
            <w:r w:rsidRPr="008D7934">
              <w:t>k</w:t>
            </w:r>
            <w:r w:rsidRPr="008D7934">
              <w:t>kerhedsmæssigt betænkeligt, at man kun</w:t>
            </w:r>
            <w:r>
              <w:t xml:space="preserve"> </w:t>
            </w:r>
            <w:r w:rsidRPr="008D7934">
              <w:t>har sendt lovforslaget i høring i en meget begrænset kreds. Når man opererer med et lovforslag</w:t>
            </w:r>
            <w:r>
              <w:t xml:space="preserve"> </w:t>
            </w:r>
            <w:r w:rsidRPr="008D7934">
              <w:t>med så kort høring</w:t>
            </w:r>
            <w:r w:rsidRPr="008D7934">
              <w:t>s</w:t>
            </w:r>
            <w:r w:rsidRPr="008D7934">
              <w:t xml:space="preserve">frist, der har store konsekvenser for de berørte fonde </w:t>
            </w:r>
            <w:r>
              <w:t>m.v.,</w:t>
            </w:r>
            <w:r w:rsidRPr="008D7934">
              <w:t xml:space="preserve"> bør man fra Skatteministeriet</w:t>
            </w:r>
            <w:r>
              <w:t xml:space="preserve"> </w:t>
            </w:r>
            <w:r w:rsidRPr="008D7934">
              <w:t>gøre en ekstra indsats for at s</w:t>
            </w:r>
            <w:r>
              <w:t>ende lo</w:t>
            </w:r>
            <w:r>
              <w:t>v</w:t>
            </w:r>
            <w:r>
              <w:t>forslaget bredere ud i høring og e</w:t>
            </w:r>
            <w:r w:rsidRPr="008D7934">
              <w:t xml:space="preserve">ksempelvis </w:t>
            </w:r>
            <w:r>
              <w:t>inddrage de</w:t>
            </w:r>
            <w:r w:rsidRPr="008D7934">
              <w:t xml:space="preserve"> berørte fonde</w:t>
            </w:r>
            <w:r>
              <w:t>.</w:t>
            </w:r>
            <w:r w:rsidRPr="008D7934">
              <w:t xml:space="preserve"> </w:t>
            </w:r>
            <w:r>
              <w:t>Denne</w:t>
            </w:r>
            <w:r w:rsidRPr="008D7934">
              <w:t xml:space="preserve"> procedure bør der rettes op på fremadrettet.</w:t>
            </w:r>
          </w:p>
          <w:p w:rsidR="008110A6" w:rsidRDefault="008110A6" w:rsidP="008110A6">
            <w:pPr>
              <w:pStyle w:val="Tabel-BrdtekstmedafstandptekstGaramond"/>
            </w:pPr>
          </w:p>
          <w:p w:rsidR="008F0B60" w:rsidRPr="008F0B60" w:rsidRDefault="008F0B60" w:rsidP="002C475A">
            <w:pPr>
              <w:pStyle w:val="Tabel-BrdtekstmedafstandptekstGaramond"/>
              <w:rPr>
                <w:b/>
              </w:rPr>
            </w:pPr>
            <w:r w:rsidRPr="008F0B60">
              <w:rPr>
                <w:b/>
              </w:rPr>
              <w:t>Konsolideringsreglen</w:t>
            </w:r>
          </w:p>
          <w:p w:rsidR="00F62E01" w:rsidRDefault="00F3703B" w:rsidP="00F62E01">
            <w:pPr>
              <w:pStyle w:val="Tabel-BrdtekstmedafstandptekstGaramond"/>
            </w:pPr>
            <w:r>
              <w:t>Dansk Erhverv anfører, at k</w:t>
            </w:r>
            <w:r w:rsidR="00DD200A" w:rsidRPr="00DD200A">
              <w:t>o</w:t>
            </w:r>
            <w:r w:rsidR="00DD200A" w:rsidRPr="00DD200A">
              <w:t>n</w:t>
            </w:r>
            <w:r w:rsidR="00DD200A" w:rsidRPr="00DD200A">
              <w:t>solideringsreglen er tænkt som en regel, der skal sikre almennyttige fonde mod en udhuling</w:t>
            </w:r>
            <w:r w:rsidR="00DD200A">
              <w:t xml:space="preserve"> </w:t>
            </w:r>
            <w:r w:rsidR="00DD200A" w:rsidRPr="00DD200A">
              <w:t>af fond</w:t>
            </w:r>
            <w:r w:rsidR="00DD200A" w:rsidRPr="00DD200A">
              <w:t>s</w:t>
            </w:r>
            <w:r w:rsidR="00DD200A" w:rsidRPr="00DD200A">
              <w:t xml:space="preserve">kapitalen. </w:t>
            </w:r>
            <w:r w:rsidR="00DD200A">
              <w:t>Hvis</w:t>
            </w:r>
            <w:r w:rsidR="00DD200A" w:rsidRPr="00DD200A">
              <w:t xml:space="preserve"> konsolidering</w:t>
            </w:r>
            <w:r w:rsidR="00DD200A" w:rsidRPr="00DD200A">
              <w:t>s</w:t>
            </w:r>
            <w:r w:rsidR="00DD200A" w:rsidRPr="00DD200A">
              <w:t>reglen</w:t>
            </w:r>
            <w:r w:rsidR="00DD200A">
              <w:t xml:space="preserve"> </w:t>
            </w:r>
            <w:r w:rsidR="00514C82">
              <w:t>fjernes</w:t>
            </w:r>
            <w:r w:rsidR="00DD200A" w:rsidRPr="00DD200A">
              <w:t xml:space="preserve">, </w:t>
            </w:r>
            <w:r w:rsidR="00DD200A">
              <w:t xml:space="preserve">vil </w:t>
            </w:r>
            <w:r w:rsidR="00DD200A" w:rsidRPr="00DD200A">
              <w:t>der fremadre</w:t>
            </w:r>
            <w:r w:rsidR="00DD200A" w:rsidRPr="00DD200A">
              <w:t>t</w:t>
            </w:r>
            <w:r w:rsidR="00DD200A" w:rsidRPr="00DD200A">
              <w:t>tet være færre pen</w:t>
            </w:r>
            <w:r w:rsidR="00DD200A">
              <w:t>ge til uddeli</w:t>
            </w:r>
            <w:r w:rsidR="00DD200A">
              <w:t>n</w:t>
            </w:r>
            <w:r w:rsidR="00DD200A">
              <w:t>ger</w:t>
            </w:r>
            <w:r w:rsidR="00F62E01">
              <w:t>,</w:t>
            </w:r>
            <w:r w:rsidR="00F62E01" w:rsidRPr="00394E42">
              <w:t xml:space="preserve"> idet en del af bidragene vil gå til at konsolidere fonden. </w:t>
            </w:r>
            <w:r w:rsidR="000704B4">
              <w:t xml:space="preserve">Dansk </w:t>
            </w:r>
            <w:r w:rsidR="00523C2A">
              <w:t>E</w:t>
            </w:r>
            <w:r w:rsidR="000704B4">
              <w:t>rhverv anfører, at der</w:t>
            </w:r>
            <w:r w:rsidR="00F62E01" w:rsidRPr="00394E42">
              <w:t xml:space="preserve"> derfor</w:t>
            </w:r>
            <w:r w:rsidR="000704B4">
              <w:t xml:space="preserve"> er</w:t>
            </w:r>
            <w:r w:rsidR="00F62E01" w:rsidRPr="00394E42">
              <w:t xml:space="preserve"> risiko for, at bidragene til fond</w:t>
            </w:r>
            <w:r w:rsidR="00F62E01" w:rsidRPr="00394E42">
              <w:t>e</w:t>
            </w:r>
            <w:r w:rsidR="00F62E01" w:rsidRPr="00394E42">
              <w:t>ne fremadrettet bliver mindre, bl.a. når bidragsyderne oplyses om, at 25 pct. af deres bidrag i</w:t>
            </w:r>
            <w:r w:rsidR="00F62E01" w:rsidRPr="00394E42">
              <w:t>k</w:t>
            </w:r>
            <w:r w:rsidR="00F62E01" w:rsidRPr="00394E42">
              <w:t>ke vil gå til uddelinger, men til konsolidering.</w:t>
            </w:r>
          </w:p>
          <w:p w:rsidR="00DD200A" w:rsidRPr="00DD200A" w:rsidRDefault="00DD200A" w:rsidP="002C475A">
            <w:pPr>
              <w:pStyle w:val="Tabel-BrdtekstmedafstandptekstGaramond"/>
            </w:pPr>
          </w:p>
          <w:p w:rsidR="00E11818" w:rsidRDefault="00DD200A" w:rsidP="002C475A">
            <w:pPr>
              <w:pStyle w:val="Tabel-BrdtekstmedafstandptekstGaramond"/>
            </w:pPr>
            <w:r w:rsidRPr="00DD200A">
              <w:t xml:space="preserve">Dansk Erhverv </w:t>
            </w:r>
            <w:r>
              <w:t>ser</w:t>
            </w:r>
            <w:r w:rsidRPr="00DD200A">
              <w:t xml:space="preserve"> helst, at ko</w:t>
            </w:r>
            <w:r w:rsidRPr="00DD200A">
              <w:t>n</w:t>
            </w:r>
            <w:r w:rsidRPr="00DD200A">
              <w:t>solideringsreglen</w:t>
            </w:r>
            <w:r w:rsidR="00E11818">
              <w:t xml:space="preserve"> ikke ophæves</w:t>
            </w:r>
            <w:r>
              <w:t xml:space="preserve">. Et alternativ til at fjerne reglen </w:t>
            </w:r>
            <w:r w:rsidR="00E11818">
              <w:t>kan</w:t>
            </w:r>
            <w:r>
              <w:t xml:space="preserve"> være, at fradraget nedsættes, </w:t>
            </w:r>
            <w:r>
              <w:lastRenderedPageBreak/>
              <w:t>hvilket efter Dansk Erhvervs o</w:t>
            </w:r>
            <w:r>
              <w:t>p</w:t>
            </w:r>
            <w:r>
              <w:t xml:space="preserve">fattelse formentlig vil kunne ske </w:t>
            </w:r>
            <w:r w:rsidRPr="00DD200A">
              <w:t>uden provenumæssige kons</w:t>
            </w:r>
            <w:r w:rsidRPr="00DD200A">
              <w:t>e</w:t>
            </w:r>
            <w:r w:rsidRPr="00DD200A">
              <w:t>kvenser for staten.</w:t>
            </w:r>
          </w:p>
          <w:p w:rsidR="002C475A" w:rsidRDefault="002C475A" w:rsidP="002C475A">
            <w:pPr>
              <w:pStyle w:val="Tabel-BrdtekstmedafstandptekstGaramond"/>
            </w:pPr>
          </w:p>
          <w:p w:rsidR="00E11818" w:rsidRPr="00E11818" w:rsidRDefault="00E11818" w:rsidP="002C475A">
            <w:pPr>
              <w:pStyle w:val="Tabel-BrdtekstmedafstandptekstGaramond"/>
              <w:rPr>
                <w:b/>
              </w:rPr>
            </w:pPr>
            <w:r w:rsidRPr="00E11818">
              <w:rPr>
                <w:b/>
              </w:rPr>
              <w:t>Overførselsreglen</w:t>
            </w:r>
          </w:p>
          <w:p w:rsidR="00514C82" w:rsidRDefault="00A16AC8" w:rsidP="002C475A">
            <w:pPr>
              <w:pStyle w:val="Tabel-BrdtekstmedafstandptekstGaramond"/>
            </w:pPr>
            <w:r>
              <w:t xml:space="preserve">Dansk </w:t>
            </w:r>
            <w:r w:rsidR="00523C2A">
              <w:t>E</w:t>
            </w:r>
            <w:r>
              <w:t>rhverv påpeger, at o</w:t>
            </w:r>
            <w:r w:rsidR="00E11818" w:rsidRPr="00E11818">
              <w:t>ve</w:t>
            </w:r>
            <w:r w:rsidR="00E11818" w:rsidRPr="00E11818">
              <w:t>r</w:t>
            </w:r>
            <w:r w:rsidR="00E11818" w:rsidRPr="00E11818">
              <w:t>førselsreglen er en regel, der si</w:t>
            </w:r>
            <w:r w:rsidR="00E11818" w:rsidRPr="00E11818">
              <w:t>k</w:t>
            </w:r>
            <w:r w:rsidR="00E11818" w:rsidRPr="00E11818">
              <w:t>rer skattemæssig ligestilling</w:t>
            </w:r>
            <w:r w:rsidR="00514C82">
              <w:t>,</w:t>
            </w:r>
            <w:r w:rsidR="00E11818" w:rsidRPr="00E11818">
              <w:t xml:space="preserve"> lig</w:t>
            </w:r>
            <w:r w:rsidR="00E11818" w:rsidRPr="00E11818">
              <w:t>e</w:t>
            </w:r>
            <w:r w:rsidR="00E11818" w:rsidRPr="00E11818">
              <w:t>gyldigt</w:t>
            </w:r>
            <w:r w:rsidR="002C475A">
              <w:t xml:space="preserve"> </w:t>
            </w:r>
            <w:r w:rsidR="00E11818" w:rsidRPr="00E11818">
              <w:t>om en fond har sin aktiv</w:t>
            </w:r>
            <w:r w:rsidR="00E11818" w:rsidRPr="00E11818">
              <w:t>i</w:t>
            </w:r>
            <w:r w:rsidR="00E11818" w:rsidRPr="00E11818">
              <w:t>tet i selve fonden eller i et eller flere datterselskaber. D</w:t>
            </w:r>
            <w:r w:rsidR="000704B4">
              <w:t>ansk E</w:t>
            </w:r>
            <w:r w:rsidR="000704B4">
              <w:t>r</w:t>
            </w:r>
            <w:r w:rsidR="000704B4">
              <w:t>hverv anfører, at d</w:t>
            </w:r>
            <w:r w:rsidR="00E11818" w:rsidRPr="00E11818">
              <w:t>er således ikke</w:t>
            </w:r>
            <w:r w:rsidR="00514C82">
              <w:t xml:space="preserve"> </w:t>
            </w:r>
            <w:r w:rsidR="000704B4">
              <w:t xml:space="preserve">er </w:t>
            </w:r>
            <w:r w:rsidR="00E11818" w:rsidRPr="00E11818">
              <w:t xml:space="preserve">tale om, at man skattemæssigt kan vinde noget ved at benytte </w:t>
            </w:r>
            <w:r w:rsidR="00514C82">
              <w:t>overførsels</w:t>
            </w:r>
            <w:r w:rsidR="00E11818" w:rsidRPr="00E11818">
              <w:t>reglen, men der er alene</w:t>
            </w:r>
            <w:r w:rsidR="00514C82">
              <w:t xml:space="preserve"> </w:t>
            </w:r>
            <w:r w:rsidR="00E11818" w:rsidRPr="00E11818">
              <w:t>tale om en praktisk regel, der sikrer, at en fond kan have den bedste virksomhedsstruktur</w:t>
            </w:r>
            <w:r w:rsidR="002C475A">
              <w:t xml:space="preserve"> </w:t>
            </w:r>
            <w:r w:rsidR="00E11818" w:rsidRPr="00E11818">
              <w:t>uden at tænke på de skattemæss</w:t>
            </w:r>
            <w:r w:rsidR="00E11818" w:rsidRPr="00E11818">
              <w:t>i</w:t>
            </w:r>
            <w:r w:rsidR="00E11818" w:rsidRPr="00E11818">
              <w:t xml:space="preserve">ge konsekvenser. </w:t>
            </w:r>
          </w:p>
          <w:p w:rsidR="00514C82" w:rsidRDefault="00514C82" w:rsidP="002C475A">
            <w:pPr>
              <w:pStyle w:val="Tabel-BrdtekstmedafstandptekstGaramond"/>
            </w:pPr>
          </w:p>
          <w:p w:rsidR="00E11818" w:rsidRDefault="00E11818" w:rsidP="002C475A">
            <w:pPr>
              <w:pStyle w:val="Tabel-BrdtekstmedafstandptekstGaramond"/>
            </w:pPr>
            <w:r w:rsidRPr="00E11818">
              <w:t xml:space="preserve">Hvis </w:t>
            </w:r>
            <w:r w:rsidR="00514C82">
              <w:t>overførsels</w:t>
            </w:r>
            <w:r w:rsidRPr="00E11818">
              <w:t>reglen</w:t>
            </w:r>
            <w:r w:rsidR="00514C82">
              <w:t xml:space="preserve"> fjernes</w:t>
            </w:r>
            <w:r w:rsidRPr="00E11818">
              <w:t>, vil en række fonde for at undgå b</w:t>
            </w:r>
            <w:r w:rsidRPr="00E11818">
              <w:t>e</w:t>
            </w:r>
            <w:r w:rsidRPr="00E11818">
              <w:t>skatning ændre deres virkso</w:t>
            </w:r>
            <w:r w:rsidRPr="00E11818">
              <w:t>m</w:t>
            </w:r>
            <w:r w:rsidRPr="00E11818">
              <w:t>hedsstruktur ved</w:t>
            </w:r>
            <w:r w:rsidR="002C475A">
              <w:t xml:space="preserve"> </w:t>
            </w:r>
            <w:r w:rsidRPr="00E11818">
              <w:t>at fusionere d</w:t>
            </w:r>
            <w:r w:rsidRPr="00E11818">
              <w:t>e</w:t>
            </w:r>
            <w:r w:rsidRPr="00E11818">
              <w:t>res driftsdatterselskaber ind i fonden. Dette vil medføre udgi</w:t>
            </w:r>
            <w:r w:rsidRPr="00E11818">
              <w:t>f</w:t>
            </w:r>
            <w:r w:rsidRPr="00E11818">
              <w:t>ter til at ændre strukturen</w:t>
            </w:r>
            <w:r w:rsidR="00850E4C">
              <w:t xml:space="preserve"> </w:t>
            </w:r>
            <w:r w:rsidRPr="00E11818">
              <w:t>og føre til, at en række fonde har en struktur, der ikke er optimal som følge af den skattemæssige</w:t>
            </w:r>
            <w:r w:rsidR="00850E4C">
              <w:t xml:space="preserve"> </w:t>
            </w:r>
            <w:r w:rsidRPr="00E11818">
              <w:t>fo</w:t>
            </w:r>
            <w:r w:rsidRPr="00E11818">
              <w:t>r</w:t>
            </w:r>
            <w:r w:rsidRPr="00E11818">
              <w:t>vridning.</w:t>
            </w:r>
          </w:p>
          <w:p w:rsidR="00850E4C" w:rsidRPr="00E11818" w:rsidRDefault="00850E4C" w:rsidP="002C475A">
            <w:pPr>
              <w:pStyle w:val="Tabel-BrdtekstmedafstandptekstGaramond"/>
            </w:pPr>
          </w:p>
          <w:p w:rsidR="00EE6A4B" w:rsidRDefault="00E11818" w:rsidP="002C475A">
            <w:pPr>
              <w:pStyle w:val="Tabel-BrdtekstmedafstandptekstGaramond"/>
            </w:pPr>
            <w:r w:rsidRPr="00E11818">
              <w:t xml:space="preserve">Dansk Erhverv </w:t>
            </w:r>
            <w:r w:rsidR="00850E4C">
              <w:t>anbefaler på</w:t>
            </w:r>
            <w:r w:rsidRPr="00E11818">
              <w:t xml:space="preserve"> den baggrund, at man bibeholder transparensreglen, da det vil</w:t>
            </w:r>
            <w:r w:rsidR="00850E4C">
              <w:t xml:space="preserve"> </w:t>
            </w:r>
            <w:r w:rsidRPr="00E11818">
              <w:t>medføre store administrative byrder for de berørte fonde, og kun vurderes at give et lille eller</w:t>
            </w:r>
            <w:r w:rsidR="001B42CC">
              <w:t xml:space="preserve"> </w:t>
            </w:r>
            <w:r w:rsidR="00850E4C">
              <w:t>i</w:t>
            </w:r>
            <w:r w:rsidRPr="00E11818">
              <w:t>ntet</w:t>
            </w:r>
            <w:r w:rsidR="00850E4C">
              <w:t xml:space="preserve"> </w:t>
            </w:r>
            <w:r w:rsidRPr="00E11818">
              <w:t>provenu.</w:t>
            </w:r>
          </w:p>
          <w:p w:rsidR="002C475A" w:rsidRDefault="002C475A" w:rsidP="002C475A">
            <w:pPr>
              <w:pStyle w:val="Tabel-BrdtekstmedafstandptekstGaramond"/>
            </w:pPr>
          </w:p>
          <w:p w:rsidR="00B56AE1" w:rsidRDefault="00B56AE1" w:rsidP="002C475A">
            <w:pPr>
              <w:pStyle w:val="Tabel-BrdtekstmedafstandptekstGaramond"/>
              <w:rPr>
                <w:b/>
              </w:rPr>
            </w:pPr>
          </w:p>
          <w:p w:rsidR="00B56AE1" w:rsidRDefault="00B56AE1" w:rsidP="002C475A">
            <w:pPr>
              <w:pStyle w:val="Tabel-BrdtekstmedafstandptekstGaramond"/>
              <w:rPr>
                <w:b/>
              </w:rPr>
            </w:pPr>
          </w:p>
          <w:p w:rsidR="00B56AE1" w:rsidRDefault="00B56AE1" w:rsidP="002C475A">
            <w:pPr>
              <w:pStyle w:val="Tabel-BrdtekstmedafstandptekstGaramond"/>
              <w:rPr>
                <w:b/>
              </w:rPr>
            </w:pPr>
          </w:p>
          <w:p w:rsidR="00EE6A4B" w:rsidRDefault="00EE6A4B" w:rsidP="002C475A">
            <w:pPr>
              <w:pStyle w:val="Tabel-BrdtekstmedafstandptekstGaramond"/>
              <w:rPr>
                <w:b/>
              </w:rPr>
            </w:pPr>
            <w:r w:rsidRPr="00EE6A4B">
              <w:rPr>
                <w:b/>
              </w:rPr>
              <w:t>Provenumæssige konsekve</w:t>
            </w:r>
            <w:r w:rsidRPr="00EE6A4B">
              <w:rPr>
                <w:b/>
              </w:rPr>
              <w:t>n</w:t>
            </w:r>
            <w:r w:rsidRPr="00EE6A4B">
              <w:rPr>
                <w:b/>
              </w:rPr>
              <w:t>ser</w:t>
            </w:r>
          </w:p>
          <w:p w:rsidR="00427407" w:rsidRDefault="005F1A8A" w:rsidP="002C475A">
            <w:pPr>
              <w:pStyle w:val="Tabel-BrdtekstmedafstandptekstGaramond"/>
            </w:pPr>
            <w:r>
              <w:t>Dansk Erhverv finder, at prov</w:t>
            </w:r>
            <w:r>
              <w:t>e</w:t>
            </w:r>
            <w:r>
              <w:t>nuberegningen, hvorefter l</w:t>
            </w:r>
            <w:r w:rsidR="00EE6A4B" w:rsidRPr="00EE6A4B">
              <w:t>o</w:t>
            </w:r>
            <w:r w:rsidR="00EE6A4B" w:rsidRPr="00EE6A4B">
              <w:t>v</w:t>
            </w:r>
            <w:r w:rsidR="00EE6A4B" w:rsidRPr="00EE6A4B">
              <w:t xml:space="preserve">forslaget </w:t>
            </w:r>
            <w:r w:rsidR="00EE6A4B">
              <w:t>skønnes</w:t>
            </w:r>
            <w:r w:rsidR="00EE6A4B" w:rsidRPr="00EE6A4B">
              <w:t xml:space="preserve"> at give et pr</w:t>
            </w:r>
            <w:r w:rsidR="00EE6A4B" w:rsidRPr="00EE6A4B">
              <w:t>o</w:t>
            </w:r>
            <w:r w:rsidR="00EE6A4B" w:rsidRPr="00EE6A4B">
              <w:t>venubidrag til statskassen på 250 mio. kr.</w:t>
            </w:r>
            <w:r w:rsidR="00745720">
              <w:t>,</w:t>
            </w:r>
            <w:r w:rsidR="00EE6A4B" w:rsidRPr="00EE6A4B">
              <w:t xml:space="preserve"> </w:t>
            </w:r>
            <w:r w:rsidR="00745720">
              <w:t>fordelt på</w:t>
            </w:r>
            <w:r w:rsidR="00EE6A4B" w:rsidRPr="00EE6A4B">
              <w:t xml:space="preserve"> 100</w:t>
            </w:r>
            <w:r w:rsidR="00EE6A4B">
              <w:t xml:space="preserve"> </w:t>
            </w:r>
            <w:r w:rsidR="00EE6A4B" w:rsidRPr="00EE6A4B">
              <w:t>mio. kr.</w:t>
            </w:r>
            <w:r w:rsidR="00745720">
              <w:t xml:space="preserve"> ved en ophævelse af </w:t>
            </w:r>
            <w:r w:rsidR="00EE6A4B" w:rsidRPr="00EE6A4B">
              <w:t>konsolid</w:t>
            </w:r>
            <w:r w:rsidR="00EE6A4B" w:rsidRPr="00EE6A4B">
              <w:t>e</w:t>
            </w:r>
            <w:r w:rsidR="00EE6A4B" w:rsidRPr="00EE6A4B">
              <w:t xml:space="preserve">ringsfradraget og 150 mio. kr. </w:t>
            </w:r>
            <w:r w:rsidR="00745720">
              <w:t>ved en ophævelse af</w:t>
            </w:r>
            <w:r w:rsidR="00EE6A4B" w:rsidRPr="00EE6A4B">
              <w:t xml:space="preserve"> </w:t>
            </w:r>
            <w:r w:rsidR="00EE6A4B">
              <w:t>overførsel</w:t>
            </w:r>
            <w:r w:rsidR="00EE6A4B">
              <w:t>s</w:t>
            </w:r>
            <w:r w:rsidR="00EE6A4B" w:rsidRPr="00EE6A4B">
              <w:t>reglen</w:t>
            </w:r>
            <w:r w:rsidR="00FA56E5" w:rsidRPr="00FA56E5">
              <w:t xml:space="preserve"> må vurderes at være yderst </w:t>
            </w:r>
            <w:r w:rsidR="00427407">
              <w:t>mangelfuld.</w:t>
            </w:r>
          </w:p>
          <w:p w:rsidR="00427407" w:rsidRDefault="00427407" w:rsidP="002C475A">
            <w:pPr>
              <w:pStyle w:val="Tabel-BrdtekstmedafstandptekstGaramond"/>
            </w:pPr>
          </w:p>
          <w:p w:rsidR="00745720" w:rsidRDefault="00427407" w:rsidP="002C475A">
            <w:pPr>
              <w:pStyle w:val="Tabel-BrdtekstmedafstandptekstGaramond"/>
            </w:pPr>
            <w:r>
              <w:t>Statens merprovenu ved en o</w:t>
            </w:r>
            <w:r>
              <w:t>p</w:t>
            </w:r>
            <w:r>
              <w:t xml:space="preserve">hævelse af </w:t>
            </w:r>
            <w:r w:rsidR="00FA56E5" w:rsidRPr="00FA56E5">
              <w:t>konsolideringsfradr</w:t>
            </w:r>
            <w:r w:rsidR="00FA56E5" w:rsidRPr="00FA56E5">
              <w:t>a</w:t>
            </w:r>
            <w:r w:rsidR="00FA56E5" w:rsidRPr="00FA56E5">
              <w:t xml:space="preserve">get </w:t>
            </w:r>
            <w:r w:rsidR="005F6563">
              <w:t>vil efter Dansk Erhvervs o</w:t>
            </w:r>
            <w:r w:rsidR="005F6563">
              <w:t>p</w:t>
            </w:r>
            <w:r w:rsidR="005F6563">
              <w:t xml:space="preserve">fattelse være </w:t>
            </w:r>
            <w:r w:rsidR="00FA56E5" w:rsidRPr="00FA56E5">
              <w:t>væsentligt høje</w:t>
            </w:r>
            <w:r w:rsidR="005F6563">
              <w:t>re end det, der skønnes i lovforsl</w:t>
            </w:r>
            <w:r w:rsidR="005F6563">
              <w:t>a</w:t>
            </w:r>
            <w:r w:rsidR="005F6563">
              <w:t>get. Dette taler for,</w:t>
            </w:r>
            <w:r w:rsidR="00FA56E5" w:rsidRPr="00FA56E5">
              <w:t xml:space="preserve"> at man</w:t>
            </w:r>
            <w:r w:rsidR="00745720">
              <w:t xml:space="preserve"> </w:t>
            </w:r>
            <w:r w:rsidR="005F6563">
              <w:t>i st</w:t>
            </w:r>
            <w:r w:rsidR="005F6563">
              <w:t>e</w:t>
            </w:r>
            <w:r w:rsidR="005F6563">
              <w:t xml:space="preserve">det for at fjerne fradraget helt blot </w:t>
            </w:r>
            <w:r w:rsidR="00FA56E5" w:rsidRPr="00FA56E5">
              <w:t>kan sænke det</w:t>
            </w:r>
            <w:r w:rsidR="005F6563">
              <w:t>.</w:t>
            </w:r>
            <w:r w:rsidR="00FA56E5" w:rsidRPr="00FA56E5">
              <w:t xml:space="preserve"> </w:t>
            </w:r>
          </w:p>
          <w:p w:rsidR="00745720" w:rsidRDefault="00745720" w:rsidP="002C475A">
            <w:pPr>
              <w:pStyle w:val="Tabel-BrdtekstmedafstandptekstGaramond"/>
            </w:pPr>
          </w:p>
          <w:p w:rsidR="00745720" w:rsidRPr="00745720" w:rsidRDefault="00745720" w:rsidP="002C475A">
            <w:pPr>
              <w:pStyle w:val="Tabel-BrdtekstmedafstandptekstGaramond"/>
            </w:pPr>
            <w:r>
              <w:t xml:space="preserve">Provenuskønnet vedrørende en ophævelse af overførselsreglen må </w:t>
            </w:r>
            <w:r w:rsidR="006954FD">
              <w:t>omvendt</w:t>
            </w:r>
            <w:r>
              <w:t xml:space="preserve"> anses </w:t>
            </w:r>
            <w:r w:rsidRPr="00745720">
              <w:t>at være ove</w:t>
            </w:r>
            <w:r w:rsidRPr="00745720">
              <w:t>r</w:t>
            </w:r>
            <w:r w:rsidRPr="00745720">
              <w:t xml:space="preserve">vurderet, </w:t>
            </w:r>
            <w:r w:rsidR="006954FD">
              <w:t>da</w:t>
            </w:r>
            <w:r w:rsidRPr="00745720">
              <w:t xml:space="preserve"> det må forventes, at flere fonde vil foretage selskab</w:t>
            </w:r>
            <w:r w:rsidRPr="00745720">
              <w:t>s</w:t>
            </w:r>
            <w:r w:rsidRPr="00745720">
              <w:t>mæssige omstruktureringer</w:t>
            </w:r>
            <w:r w:rsidR="006954FD">
              <w:t>, så</w:t>
            </w:r>
          </w:p>
          <w:p w:rsidR="00707495" w:rsidRPr="00B5346F" w:rsidRDefault="00745720" w:rsidP="0069734D">
            <w:pPr>
              <w:pStyle w:val="Tabel-BrdtekstmedafstandptekstGaramond"/>
            </w:pPr>
            <w:r w:rsidRPr="00745720">
              <w:t>aktiviteten lægges i selve fonden</w:t>
            </w:r>
            <w:r w:rsidR="007D268B">
              <w:t>,</w:t>
            </w:r>
            <w:r w:rsidRPr="00745720">
              <w:t xml:space="preserve"> frem for i driftsdatterselskaber.</w:t>
            </w:r>
          </w:p>
        </w:tc>
        <w:tc>
          <w:tcPr>
            <w:tcW w:w="209" w:type="dxa"/>
            <w:shd w:val="clear" w:color="auto" w:fill="FFFFFF" w:themeFill="background1"/>
          </w:tcPr>
          <w:p w:rsidR="00C0001A" w:rsidRPr="00B5346F" w:rsidRDefault="00C0001A" w:rsidP="00122C71"/>
        </w:tc>
        <w:tc>
          <w:tcPr>
            <w:tcW w:w="3259" w:type="dxa"/>
            <w:tcBorders>
              <w:top w:val="single" w:sz="4" w:space="0" w:color="14143C" w:themeColor="accent1"/>
              <w:bottom w:val="single" w:sz="4" w:space="0" w:color="14143C" w:themeColor="accent1"/>
            </w:tcBorders>
            <w:shd w:val="clear" w:color="auto" w:fill="D2CED8"/>
          </w:tcPr>
          <w:p w:rsidR="002D1BB1" w:rsidRDefault="002D1BB1" w:rsidP="00122C71">
            <w:pPr>
              <w:pStyle w:val="Tabel-BrdtekstmedafstandptekstGaramond"/>
            </w:pPr>
          </w:p>
          <w:p w:rsidR="00C0001A" w:rsidRDefault="002D1BB1" w:rsidP="00122C71">
            <w:pPr>
              <w:pStyle w:val="Tabel-BrdtekstmedafstandptekstGaramond"/>
            </w:pPr>
            <w:r>
              <w:t>Der henvises til kommentaren til Akademikerne.</w:t>
            </w:r>
          </w:p>
          <w:p w:rsidR="0048350C" w:rsidRDefault="0048350C" w:rsidP="00122C71">
            <w:pPr>
              <w:pStyle w:val="Tabel-BrdtekstmedafstandptekstGaramond"/>
            </w:pPr>
          </w:p>
          <w:p w:rsidR="0048350C" w:rsidRDefault="0048350C" w:rsidP="00122C71">
            <w:pPr>
              <w:pStyle w:val="Tabel-BrdtekstmedafstandptekstGaramond"/>
            </w:pPr>
          </w:p>
          <w:p w:rsidR="0048350C" w:rsidRDefault="0048350C" w:rsidP="00122C71">
            <w:pPr>
              <w:pStyle w:val="Tabel-BrdtekstmedafstandptekstGaramond"/>
            </w:pPr>
          </w:p>
          <w:p w:rsidR="0048350C" w:rsidRDefault="0048350C" w:rsidP="00122C71">
            <w:pPr>
              <w:pStyle w:val="Tabel-BrdtekstmedafstandptekstGaramond"/>
            </w:pPr>
          </w:p>
          <w:p w:rsidR="0048350C" w:rsidRDefault="0048350C" w:rsidP="00122C71">
            <w:pPr>
              <w:pStyle w:val="Tabel-BrdtekstmedafstandptekstGaramond"/>
            </w:pPr>
          </w:p>
          <w:p w:rsidR="0048350C" w:rsidRDefault="0048350C" w:rsidP="00122C71">
            <w:pPr>
              <w:pStyle w:val="Tabel-BrdtekstmedafstandptekstGaramond"/>
            </w:pPr>
          </w:p>
          <w:p w:rsidR="0048350C" w:rsidRDefault="0048350C" w:rsidP="00122C71">
            <w:pPr>
              <w:pStyle w:val="Tabel-BrdtekstmedafstandptekstGaramond"/>
            </w:pPr>
          </w:p>
          <w:p w:rsidR="0048350C" w:rsidRDefault="0048350C" w:rsidP="00122C71">
            <w:pPr>
              <w:pStyle w:val="Tabel-BrdtekstmedafstandptekstGaramond"/>
            </w:pPr>
          </w:p>
          <w:p w:rsidR="0048350C" w:rsidRDefault="0048350C" w:rsidP="00122C71">
            <w:pPr>
              <w:pStyle w:val="Tabel-BrdtekstmedafstandptekstGaramond"/>
            </w:pPr>
          </w:p>
          <w:p w:rsidR="00FB7589" w:rsidRDefault="00FB7589" w:rsidP="00122C71">
            <w:pPr>
              <w:pStyle w:val="Tabel-BrdtekstmedafstandptekstGaramond"/>
            </w:pPr>
          </w:p>
          <w:p w:rsidR="0048350C" w:rsidRDefault="0048350C" w:rsidP="00122C71">
            <w:pPr>
              <w:pStyle w:val="Tabel-BrdtekstmedafstandptekstGaramond"/>
            </w:pPr>
            <w:r>
              <w:t xml:space="preserve">Der henvises til kommentaren til </w:t>
            </w:r>
            <w:r w:rsidR="00434CC7">
              <w:t>CEPOS</w:t>
            </w:r>
            <w:r>
              <w:t>.</w:t>
            </w:r>
          </w:p>
          <w:p w:rsidR="0048350C" w:rsidRDefault="0048350C" w:rsidP="00122C71">
            <w:pPr>
              <w:pStyle w:val="Tabel-BrdtekstmedafstandptekstGaramond"/>
            </w:pPr>
          </w:p>
          <w:p w:rsidR="0048350C" w:rsidRDefault="0048350C" w:rsidP="00122C71">
            <w:pPr>
              <w:pStyle w:val="Tabel-BrdtekstmedafstandptekstGaramond"/>
            </w:pPr>
          </w:p>
          <w:p w:rsidR="0048350C" w:rsidRDefault="0048350C" w:rsidP="00122C71">
            <w:pPr>
              <w:pStyle w:val="Tabel-BrdtekstmedafstandptekstGaramond"/>
            </w:pPr>
          </w:p>
          <w:p w:rsidR="0048350C" w:rsidRDefault="0048350C" w:rsidP="00122C71">
            <w:pPr>
              <w:pStyle w:val="Tabel-BrdtekstmedafstandptekstGaramond"/>
            </w:pPr>
          </w:p>
          <w:p w:rsidR="0048350C" w:rsidRDefault="0048350C" w:rsidP="00122C71">
            <w:pPr>
              <w:pStyle w:val="Tabel-BrdtekstmedafstandptekstGaramond"/>
            </w:pPr>
          </w:p>
          <w:p w:rsidR="0048350C" w:rsidRDefault="0048350C" w:rsidP="00122C71">
            <w:pPr>
              <w:pStyle w:val="Tabel-BrdtekstmedafstandptekstGaramond"/>
            </w:pPr>
          </w:p>
          <w:p w:rsidR="0048350C" w:rsidRDefault="0048350C" w:rsidP="00122C71">
            <w:pPr>
              <w:pStyle w:val="Tabel-BrdtekstmedafstandptekstGaramond"/>
            </w:pPr>
          </w:p>
          <w:p w:rsidR="0048350C" w:rsidRDefault="0048350C" w:rsidP="00122C71">
            <w:pPr>
              <w:pStyle w:val="Tabel-BrdtekstmedafstandptekstGaramond"/>
            </w:pPr>
          </w:p>
          <w:p w:rsidR="0048350C" w:rsidRDefault="0048350C" w:rsidP="00122C71">
            <w:pPr>
              <w:pStyle w:val="Tabel-BrdtekstmedafstandptekstGaramond"/>
            </w:pPr>
          </w:p>
          <w:p w:rsidR="00EE79C2" w:rsidRDefault="00EE79C2" w:rsidP="00122C71">
            <w:pPr>
              <w:pStyle w:val="Tabel-BrdtekstmedafstandptekstGaramond"/>
            </w:pPr>
          </w:p>
          <w:p w:rsidR="0048350C" w:rsidRDefault="00014158" w:rsidP="00122C71">
            <w:pPr>
              <w:pStyle w:val="Tabel-BrdtekstmedafstandptekstGaramond"/>
            </w:pPr>
            <w:r>
              <w:t>Der henvises til kommentaren til Dansk Byggeri.</w:t>
            </w:r>
          </w:p>
          <w:p w:rsidR="0048350C" w:rsidRDefault="0048350C" w:rsidP="00122C71">
            <w:pPr>
              <w:pStyle w:val="Tabel-BrdtekstmedafstandptekstGaramond"/>
            </w:pPr>
          </w:p>
          <w:p w:rsidR="0048350C" w:rsidRDefault="0048350C" w:rsidP="00122C71">
            <w:pPr>
              <w:pStyle w:val="Tabel-BrdtekstmedafstandptekstGaramond"/>
            </w:pPr>
          </w:p>
          <w:p w:rsidR="0048350C" w:rsidRDefault="0048350C" w:rsidP="00122C71">
            <w:pPr>
              <w:pStyle w:val="Tabel-BrdtekstmedafstandptekstGaramond"/>
            </w:pPr>
          </w:p>
          <w:p w:rsidR="0048350C" w:rsidRDefault="0048350C" w:rsidP="00122C71">
            <w:pPr>
              <w:pStyle w:val="Tabel-BrdtekstmedafstandptekstGaramond"/>
            </w:pPr>
          </w:p>
          <w:p w:rsidR="0048350C" w:rsidRDefault="0048350C" w:rsidP="00122C71">
            <w:pPr>
              <w:pStyle w:val="Tabel-BrdtekstmedafstandptekstGaramond"/>
            </w:pPr>
          </w:p>
          <w:p w:rsidR="0048350C" w:rsidRDefault="0048350C" w:rsidP="00122C71">
            <w:pPr>
              <w:pStyle w:val="Tabel-BrdtekstmedafstandptekstGaramond"/>
            </w:pPr>
          </w:p>
          <w:p w:rsidR="0048350C" w:rsidRDefault="0048350C" w:rsidP="00122C71">
            <w:pPr>
              <w:pStyle w:val="Tabel-BrdtekstmedafstandptekstGaramond"/>
            </w:pPr>
          </w:p>
          <w:p w:rsidR="0048350C" w:rsidRDefault="0048350C" w:rsidP="00122C71">
            <w:pPr>
              <w:pStyle w:val="Tabel-BrdtekstmedafstandptekstGaramond"/>
            </w:pPr>
          </w:p>
          <w:p w:rsidR="0048350C" w:rsidRDefault="0048350C" w:rsidP="00122C71">
            <w:pPr>
              <w:pStyle w:val="Tabel-BrdtekstmedafstandptekstGaramond"/>
            </w:pPr>
          </w:p>
          <w:p w:rsidR="0048350C" w:rsidRDefault="0048350C" w:rsidP="00122C71">
            <w:pPr>
              <w:pStyle w:val="Tabel-BrdtekstmedafstandptekstGaramond"/>
            </w:pPr>
          </w:p>
          <w:p w:rsidR="0048350C" w:rsidRDefault="0048350C" w:rsidP="00122C71">
            <w:pPr>
              <w:pStyle w:val="Tabel-BrdtekstmedafstandptekstGaramond"/>
            </w:pPr>
          </w:p>
          <w:p w:rsidR="0048350C" w:rsidRDefault="0048350C" w:rsidP="00122C71">
            <w:pPr>
              <w:pStyle w:val="Tabel-BrdtekstmedafstandptekstGaramond"/>
            </w:pPr>
          </w:p>
          <w:p w:rsidR="0048350C" w:rsidRDefault="0048350C" w:rsidP="00122C71">
            <w:pPr>
              <w:pStyle w:val="Tabel-BrdtekstmedafstandptekstGaramond"/>
            </w:pPr>
          </w:p>
          <w:p w:rsidR="0048350C" w:rsidRDefault="00B36CDB" w:rsidP="00122C71">
            <w:pPr>
              <w:pStyle w:val="Tabel-BrdtekstmedafstandptekstGaramond"/>
            </w:pPr>
            <w:r>
              <w:t>Det bemærkes, at Skatteminist</w:t>
            </w:r>
            <w:r>
              <w:t>e</w:t>
            </w:r>
            <w:r>
              <w:t xml:space="preserve">riet generelt ikke sender udkast til lovforslag i høring hos enkelte skatteydere. </w:t>
            </w:r>
          </w:p>
          <w:p w:rsidR="00B36CDB" w:rsidRDefault="00B36CDB" w:rsidP="00122C71">
            <w:pPr>
              <w:pStyle w:val="Tabel-BrdtekstmedafstandptekstGaramond"/>
            </w:pPr>
          </w:p>
          <w:p w:rsidR="00B36CDB" w:rsidRDefault="00943DDB" w:rsidP="00434CC7">
            <w:pPr>
              <w:pStyle w:val="Tabel-BrdtekstmedafstandptekstGaramond"/>
            </w:pPr>
            <w:r>
              <w:t>Det bemærkes også, at l</w:t>
            </w:r>
            <w:r w:rsidR="00B36CDB">
              <w:t>o</w:t>
            </w:r>
            <w:r w:rsidR="00B36CDB">
              <w:t>v</w:t>
            </w:r>
            <w:r w:rsidR="00B36CDB">
              <w:t>forslaget er sendt til de høring</w:t>
            </w:r>
            <w:r w:rsidR="00B36CDB">
              <w:t>s</w:t>
            </w:r>
            <w:r w:rsidR="00B36CDB">
              <w:t xml:space="preserve">parter, </w:t>
            </w:r>
            <w:r w:rsidR="00675F03">
              <w:t xml:space="preserve">som normalt modtager </w:t>
            </w:r>
            <w:r w:rsidR="00B36CDB">
              <w:t xml:space="preserve">lovforslag i høring. Samtidig er lovforslag, resumé og </w:t>
            </w:r>
            <w:r w:rsidR="00675F03">
              <w:t>øvrigt h</w:t>
            </w:r>
            <w:r w:rsidR="00675F03">
              <w:t>ø</w:t>
            </w:r>
            <w:r w:rsidR="00675F03">
              <w:t>ringsmateriale offentliggjort på Høringsportalen</w:t>
            </w:r>
            <w:r w:rsidR="00434CC7">
              <w:t>.</w:t>
            </w:r>
          </w:p>
          <w:p w:rsidR="00434CC7" w:rsidRDefault="00434CC7" w:rsidP="00434CC7">
            <w:pPr>
              <w:pStyle w:val="Tabel-BrdtekstmedafstandptekstGaramond"/>
            </w:pPr>
          </w:p>
          <w:p w:rsidR="00434CC7" w:rsidRDefault="00434CC7" w:rsidP="00434CC7">
            <w:pPr>
              <w:pStyle w:val="Tabel-BrdtekstmedafstandptekstGaramond"/>
            </w:pPr>
          </w:p>
          <w:p w:rsidR="00B36CDB" w:rsidRDefault="00B36CDB" w:rsidP="00B36CDB">
            <w:pPr>
              <w:pStyle w:val="Tabel-BrdtekstmedafstandptekstGaramond"/>
              <w:ind w:left="0"/>
            </w:pPr>
          </w:p>
          <w:p w:rsidR="0048350C" w:rsidRDefault="0048350C" w:rsidP="00122C71">
            <w:pPr>
              <w:pStyle w:val="Tabel-BrdtekstmedafstandptekstGaramond"/>
            </w:pPr>
          </w:p>
          <w:p w:rsidR="006F21E6" w:rsidRDefault="006F21E6" w:rsidP="00122C71">
            <w:pPr>
              <w:pStyle w:val="Tabel-BrdtekstmedafstandptekstGaramond"/>
            </w:pPr>
          </w:p>
          <w:p w:rsidR="0048350C" w:rsidRDefault="0048350C" w:rsidP="00122C71">
            <w:pPr>
              <w:pStyle w:val="Tabel-BrdtekstmedafstandptekstGaramond"/>
            </w:pPr>
            <w:r>
              <w:t xml:space="preserve">Der henvises til kommentaren til </w:t>
            </w:r>
            <w:r w:rsidRPr="001465F2">
              <w:t>Novo Nordisk Fonden, Villum Fonden og Lundbeckfonden</w:t>
            </w:r>
            <w:r>
              <w:t>.</w:t>
            </w:r>
          </w:p>
          <w:p w:rsidR="00195FA0" w:rsidRDefault="00195FA0" w:rsidP="00122C71">
            <w:pPr>
              <w:pStyle w:val="Tabel-BrdtekstmedafstandptekstGaramond"/>
            </w:pPr>
          </w:p>
          <w:p w:rsidR="00195FA0" w:rsidRDefault="00195FA0" w:rsidP="00122C71">
            <w:pPr>
              <w:pStyle w:val="Tabel-BrdtekstmedafstandptekstGaramond"/>
            </w:pPr>
          </w:p>
          <w:p w:rsidR="00195FA0" w:rsidRDefault="00195FA0" w:rsidP="00122C71">
            <w:pPr>
              <w:pStyle w:val="Tabel-BrdtekstmedafstandptekstGaramond"/>
            </w:pPr>
          </w:p>
          <w:p w:rsidR="00195FA0" w:rsidRDefault="00195FA0" w:rsidP="00122C71">
            <w:pPr>
              <w:pStyle w:val="Tabel-BrdtekstmedafstandptekstGaramond"/>
            </w:pPr>
          </w:p>
          <w:p w:rsidR="00195FA0" w:rsidRDefault="00195FA0" w:rsidP="00122C71">
            <w:pPr>
              <w:pStyle w:val="Tabel-BrdtekstmedafstandptekstGaramond"/>
            </w:pPr>
          </w:p>
          <w:p w:rsidR="00195FA0" w:rsidRDefault="00195FA0" w:rsidP="00122C71">
            <w:pPr>
              <w:pStyle w:val="Tabel-BrdtekstmedafstandptekstGaramond"/>
            </w:pPr>
          </w:p>
          <w:p w:rsidR="00195FA0" w:rsidRDefault="00195FA0" w:rsidP="00122C71">
            <w:pPr>
              <w:pStyle w:val="Tabel-BrdtekstmedafstandptekstGaramond"/>
            </w:pPr>
          </w:p>
          <w:p w:rsidR="00195FA0" w:rsidRDefault="00195FA0" w:rsidP="00122C71">
            <w:pPr>
              <w:pStyle w:val="Tabel-BrdtekstmedafstandptekstGaramond"/>
            </w:pPr>
          </w:p>
          <w:p w:rsidR="00195FA0" w:rsidRDefault="00195FA0" w:rsidP="00122C71">
            <w:pPr>
              <w:pStyle w:val="Tabel-BrdtekstmedafstandptekstGaramond"/>
            </w:pPr>
          </w:p>
          <w:p w:rsidR="00195FA0" w:rsidRDefault="00195FA0" w:rsidP="00122C71">
            <w:pPr>
              <w:pStyle w:val="Tabel-BrdtekstmedafstandptekstGaramond"/>
            </w:pPr>
          </w:p>
          <w:p w:rsidR="00195FA0" w:rsidRDefault="00195FA0" w:rsidP="00122C71">
            <w:pPr>
              <w:pStyle w:val="Tabel-BrdtekstmedafstandptekstGaramond"/>
            </w:pPr>
          </w:p>
          <w:p w:rsidR="00195FA0" w:rsidRDefault="00195FA0" w:rsidP="00122C71">
            <w:pPr>
              <w:pStyle w:val="Tabel-BrdtekstmedafstandptekstGaramond"/>
            </w:pPr>
          </w:p>
          <w:p w:rsidR="00EE79C2" w:rsidRDefault="00EE79C2" w:rsidP="00122C71">
            <w:pPr>
              <w:pStyle w:val="Tabel-BrdtekstmedafstandptekstGaramond"/>
            </w:pPr>
          </w:p>
          <w:p w:rsidR="00EE79C2" w:rsidRDefault="00EE79C2" w:rsidP="00122C71">
            <w:pPr>
              <w:pStyle w:val="Tabel-BrdtekstmedafstandptekstGaramond"/>
            </w:pPr>
          </w:p>
          <w:p w:rsidR="00195FA0" w:rsidRDefault="00C51FC1" w:rsidP="00122C71">
            <w:pPr>
              <w:pStyle w:val="Tabel-BrdtekstmedafstandptekstGaramond"/>
            </w:pPr>
            <w:r>
              <w:t>Provenuvirkningen af ophæve</w:t>
            </w:r>
            <w:r>
              <w:t>l</w:t>
            </w:r>
            <w:r>
              <w:t xml:space="preserve">sen af konsolideringsfradraget fremgår af bemærkningerne til lovforslaget. Hvis fradraget ikke </w:t>
            </w:r>
            <w:r>
              <w:lastRenderedPageBreak/>
              <w:t>ophæves helt, er det opfattelsen, at det vil få betydning for pr</w:t>
            </w:r>
            <w:r>
              <w:t>o</w:t>
            </w:r>
            <w:r>
              <w:t>venuet.</w:t>
            </w:r>
          </w:p>
          <w:p w:rsidR="00195FA0" w:rsidRDefault="00195FA0" w:rsidP="00122C71">
            <w:pPr>
              <w:pStyle w:val="Tabel-BrdtekstmedafstandptekstGaramond"/>
            </w:pPr>
          </w:p>
          <w:p w:rsidR="00195FA0" w:rsidRDefault="00195FA0" w:rsidP="00122C71">
            <w:pPr>
              <w:pStyle w:val="Tabel-BrdtekstmedafstandptekstGaramond"/>
            </w:pPr>
          </w:p>
          <w:p w:rsidR="00195FA0" w:rsidRDefault="00195FA0" w:rsidP="00122C71">
            <w:pPr>
              <w:pStyle w:val="Tabel-BrdtekstmedafstandptekstGaramond"/>
            </w:pPr>
          </w:p>
          <w:p w:rsidR="00195FA0" w:rsidRDefault="001C4C7A" w:rsidP="00195FA0">
            <w:pPr>
              <w:pStyle w:val="Tabel-BrdtekstmedafstandptekstGaramond"/>
            </w:pPr>
            <w:r>
              <w:t xml:space="preserve">Regeringen </w:t>
            </w:r>
            <w:r w:rsidR="00BD59AB">
              <w:t xml:space="preserve">vil </w:t>
            </w:r>
            <w:r w:rsidR="00195FA0">
              <w:t>til 2. behandli</w:t>
            </w:r>
            <w:r w:rsidR="00195FA0">
              <w:t>n</w:t>
            </w:r>
            <w:r w:rsidR="00195FA0">
              <w:t>gen af lovforslaget stille</w:t>
            </w:r>
            <w:r w:rsidR="00BD59AB">
              <w:t xml:space="preserve"> et</w:t>
            </w:r>
            <w:r w:rsidR="00195FA0">
              <w:t xml:space="preserve"> æ</w:t>
            </w:r>
            <w:r w:rsidR="00195FA0">
              <w:t>n</w:t>
            </w:r>
            <w:r w:rsidR="00195FA0">
              <w:t xml:space="preserve">dringsforslag </w:t>
            </w:r>
            <w:r w:rsidR="00195FA0" w:rsidRPr="001465F2">
              <w:t>om, at den foresl</w:t>
            </w:r>
            <w:r w:rsidR="00195FA0" w:rsidRPr="001465F2">
              <w:t>å</w:t>
            </w:r>
            <w:r w:rsidR="00195FA0" w:rsidRPr="001465F2">
              <w:t>ede ophævelse af overførselsre</w:t>
            </w:r>
            <w:r w:rsidR="00195FA0" w:rsidRPr="001465F2">
              <w:t>g</w:t>
            </w:r>
            <w:r w:rsidR="00195FA0" w:rsidRPr="001465F2">
              <w:t>len udgår af forslaget</w:t>
            </w:r>
            <w:r w:rsidR="00195FA0">
              <w:t xml:space="preserve">. </w:t>
            </w:r>
          </w:p>
          <w:p w:rsidR="00195FA0" w:rsidRDefault="00195FA0" w:rsidP="00195FA0">
            <w:pPr>
              <w:pStyle w:val="Tabel-BrdtekstmedafstandptekstGaramond"/>
            </w:pPr>
          </w:p>
          <w:p w:rsidR="00195FA0" w:rsidRDefault="00195FA0" w:rsidP="00195FA0">
            <w:pPr>
              <w:pStyle w:val="Tabel-BrdtekstmedafstandptekstGaramond"/>
            </w:pPr>
            <w:r>
              <w:t xml:space="preserve">Baggrunden herfor er nærmere beskrevet i kommentaren til </w:t>
            </w:r>
            <w:r w:rsidRPr="001465F2">
              <w:t>D</w:t>
            </w:r>
            <w:r w:rsidRPr="001465F2">
              <w:t>e</w:t>
            </w:r>
            <w:r w:rsidRPr="001465F2">
              <w:t>loitte, EY, KPMG og PwC</w:t>
            </w:r>
            <w:r>
              <w:t>.</w:t>
            </w:r>
          </w:p>
          <w:p w:rsidR="00AA37B6" w:rsidRDefault="00AA37B6" w:rsidP="00195FA0">
            <w:pPr>
              <w:pStyle w:val="Tabel-BrdtekstmedafstandptekstGaramond"/>
            </w:pPr>
          </w:p>
          <w:p w:rsidR="00AA37B6" w:rsidRDefault="00AA37B6" w:rsidP="00195FA0">
            <w:pPr>
              <w:pStyle w:val="Tabel-BrdtekstmedafstandptekstGaramond"/>
            </w:pPr>
          </w:p>
          <w:p w:rsidR="00AA37B6" w:rsidRDefault="00AA37B6" w:rsidP="00195FA0">
            <w:pPr>
              <w:pStyle w:val="Tabel-BrdtekstmedafstandptekstGaramond"/>
            </w:pPr>
          </w:p>
          <w:p w:rsidR="00AA37B6" w:rsidRDefault="00AA37B6" w:rsidP="00195FA0">
            <w:pPr>
              <w:pStyle w:val="Tabel-BrdtekstmedafstandptekstGaramond"/>
            </w:pPr>
          </w:p>
          <w:p w:rsidR="00AA37B6" w:rsidRDefault="00AA37B6" w:rsidP="00195FA0">
            <w:pPr>
              <w:pStyle w:val="Tabel-BrdtekstmedafstandptekstGaramond"/>
            </w:pPr>
          </w:p>
          <w:p w:rsidR="00AA37B6" w:rsidRDefault="00AA37B6" w:rsidP="00195FA0">
            <w:pPr>
              <w:pStyle w:val="Tabel-BrdtekstmedafstandptekstGaramond"/>
            </w:pPr>
          </w:p>
          <w:p w:rsidR="00AA37B6" w:rsidRDefault="00AA37B6" w:rsidP="00195FA0">
            <w:pPr>
              <w:pStyle w:val="Tabel-BrdtekstmedafstandptekstGaramond"/>
            </w:pPr>
          </w:p>
          <w:p w:rsidR="00AA37B6" w:rsidRDefault="00AA37B6" w:rsidP="00195FA0">
            <w:pPr>
              <w:pStyle w:val="Tabel-BrdtekstmedafstandptekstGaramond"/>
            </w:pPr>
          </w:p>
          <w:p w:rsidR="00AA37B6" w:rsidRDefault="00AA37B6" w:rsidP="00195FA0">
            <w:pPr>
              <w:pStyle w:val="Tabel-BrdtekstmedafstandptekstGaramond"/>
            </w:pPr>
          </w:p>
          <w:p w:rsidR="00AA37B6" w:rsidRDefault="00AA37B6" w:rsidP="00195FA0">
            <w:pPr>
              <w:pStyle w:val="Tabel-BrdtekstmedafstandptekstGaramond"/>
            </w:pPr>
          </w:p>
          <w:p w:rsidR="00AA37B6" w:rsidRDefault="00AA37B6" w:rsidP="00195FA0">
            <w:pPr>
              <w:pStyle w:val="Tabel-BrdtekstmedafstandptekstGaramond"/>
            </w:pPr>
          </w:p>
          <w:p w:rsidR="00AA37B6" w:rsidRDefault="00AA37B6" w:rsidP="00195FA0">
            <w:pPr>
              <w:pStyle w:val="Tabel-BrdtekstmedafstandptekstGaramond"/>
            </w:pPr>
          </w:p>
          <w:p w:rsidR="00AA37B6" w:rsidRDefault="00AA37B6" w:rsidP="00195FA0">
            <w:pPr>
              <w:pStyle w:val="Tabel-BrdtekstmedafstandptekstGaramond"/>
            </w:pPr>
          </w:p>
          <w:p w:rsidR="00AA37B6" w:rsidRDefault="00AA37B6" w:rsidP="00195FA0">
            <w:pPr>
              <w:pStyle w:val="Tabel-BrdtekstmedafstandptekstGaramond"/>
            </w:pPr>
          </w:p>
          <w:p w:rsidR="00AA37B6" w:rsidRDefault="00AA37B6" w:rsidP="00195FA0">
            <w:pPr>
              <w:pStyle w:val="Tabel-BrdtekstmedafstandptekstGaramond"/>
            </w:pPr>
          </w:p>
          <w:p w:rsidR="00AA37B6" w:rsidRDefault="00AA37B6" w:rsidP="00195FA0">
            <w:pPr>
              <w:pStyle w:val="Tabel-BrdtekstmedafstandptekstGaramond"/>
            </w:pPr>
          </w:p>
          <w:p w:rsidR="00AA37B6" w:rsidRDefault="00AA37B6" w:rsidP="00195FA0">
            <w:pPr>
              <w:pStyle w:val="Tabel-BrdtekstmedafstandptekstGaramond"/>
            </w:pPr>
          </w:p>
          <w:p w:rsidR="00AA37B6" w:rsidRDefault="00AA37B6" w:rsidP="00195FA0">
            <w:pPr>
              <w:pStyle w:val="Tabel-BrdtekstmedafstandptekstGaramond"/>
            </w:pPr>
          </w:p>
          <w:p w:rsidR="00AA37B6" w:rsidRDefault="00AA37B6" w:rsidP="00195FA0">
            <w:pPr>
              <w:pStyle w:val="Tabel-BrdtekstmedafstandptekstGaramond"/>
            </w:pPr>
          </w:p>
          <w:p w:rsidR="00AA37B6" w:rsidRDefault="00AA37B6" w:rsidP="00195FA0">
            <w:pPr>
              <w:pStyle w:val="Tabel-BrdtekstmedafstandptekstGaramond"/>
            </w:pPr>
          </w:p>
          <w:p w:rsidR="00AA37B6" w:rsidRDefault="00AA37B6" w:rsidP="00195FA0">
            <w:pPr>
              <w:pStyle w:val="Tabel-BrdtekstmedafstandptekstGaramond"/>
            </w:pPr>
          </w:p>
          <w:p w:rsidR="00AA37B6" w:rsidRDefault="00AA37B6" w:rsidP="00195FA0">
            <w:pPr>
              <w:pStyle w:val="Tabel-BrdtekstmedafstandptekstGaramond"/>
            </w:pPr>
          </w:p>
          <w:p w:rsidR="00AA37B6" w:rsidRDefault="00AA37B6" w:rsidP="00195FA0">
            <w:pPr>
              <w:pStyle w:val="Tabel-BrdtekstmedafstandptekstGaramond"/>
            </w:pPr>
          </w:p>
          <w:p w:rsidR="00AA37B6" w:rsidRDefault="00AA37B6" w:rsidP="00195FA0">
            <w:pPr>
              <w:pStyle w:val="Tabel-BrdtekstmedafstandptekstGaramond"/>
            </w:pPr>
          </w:p>
          <w:p w:rsidR="00AA37B6" w:rsidRDefault="00AA37B6" w:rsidP="00195FA0">
            <w:pPr>
              <w:pStyle w:val="Tabel-BrdtekstmedafstandptekstGaramond"/>
            </w:pPr>
          </w:p>
          <w:p w:rsidR="00AA37B6" w:rsidRDefault="00AA37B6" w:rsidP="00195FA0">
            <w:pPr>
              <w:pStyle w:val="Tabel-BrdtekstmedafstandptekstGaramond"/>
            </w:pPr>
          </w:p>
          <w:p w:rsidR="00B56AE1" w:rsidRDefault="00B56AE1" w:rsidP="00AA37B6">
            <w:pPr>
              <w:pStyle w:val="Tabel-BrdtekstmedafstandptekstGaramond"/>
            </w:pPr>
          </w:p>
          <w:p w:rsidR="00B56AE1" w:rsidRDefault="00B56AE1" w:rsidP="00AA37B6">
            <w:pPr>
              <w:pStyle w:val="Tabel-BrdtekstmedafstandptekstGaramond"/>
            </w:pPr>
          </w:p>
          <w:p w:rsidR="00796067" w:rsidRDefault="00796067" w:rsidP="00AA37B6">
            <w:pPr>
              <w:pStyle w:val="Tabel-BrdtekstmedafstandptekstGaramond"/>
            </w:pPr>
          </w:p>
          <w:p w:rsidR="00796067" w:rsidRDefault="00796067" w:rsidP="00AA37B6">
            <w:pPr>
              <w:pStyle w:val="Tabel-BrdtekstmedafstandptekstGaramond"/>
            </w:pPr>
          </w:p>
          <w:p w:rsidR="00E92EE3" w:rsidRDefault="00E92EE3" w:rsidP="00AA37B6">
            <w:pPr>
              <w:pStyle w:val="Tabel-BrdtekstmedafstandptekstGaramond"/>
            </w:pPr>
          </w:p>
          <w:p w:rsidR="00E92EE3" w:rsidRDefault="00E92EE3" w:rsidP="00AA37B6">
            <w:pPr>
              <w:pStyle w:val="Tabel-BrdtekstmedafstandptekstGaramond"/>
            </w:pPr>
          </w:p>
          <w:p w:rsidR="00AA37B6" w:rsidRPr="00B5346F" w:rsidRDefault="00AA37B6" w:rsidP="00AA37B6">
            <w:pPr>
              <w:pStyle w:val="Tabel-BrdtekstmedafstandptekstGaramond"/>
            </w:pPr>
            <w:r>
              <w:t xml:space="preserve">Der henvises til kommentaren til </w:t>
            </w:r>
            <w:r w:rsidRPr="001465F2">
              <w:t>Deloitte, EY, KPMG og PwC</w:t>
            </w:r>
            <w:r>
              <w:t>.</w:t>
            </w:r>
          </w:p>
        </w:tc>
      </w:tr>
      <w:tr w:rsidR="009A36E0" w:rsidRPr="00B5346F" w:rsidTr="00C87589">
        <w:tc>
          <w:tcPr>
            <w:tcW w:w="2653" w:type="dxa"/>
            <w:tcBorders>
              <w:top w:val="single" w:sz="4" w:space="0" w:color="D1C5C3" w:themeColor="accent3"/>
              <w:bottom w:val="single" w:sz="4" w:space="0" w:color="D1C5C3" w:themeColor="accent3"/>
            </w:tcBorders>
            <w:shd w:val="clear" w:color="auto" w:fill="FBF9F9"/>
          </w:tcPr>
          <w:p w:rsidR="00C0001A" w:rsidRPr="00600E3E" w:rsidRDefault="00C0001A" w:rsidP="00C0001A">
            <w:pPr>
              <w:pStyle w:val="Tabel-BrdtekstmedafstandptekstGaramond"/>
              <w:rPr>
                <w:i/>
              </w:rPr>
            </w:pPr>
            <w:r>
              <w:rPr>
                <w:i/>
              </w:rPr>
              <w:lastRenderedPageBreak/>
              <w:t>Danske Advokater</w:t>
            </w:r>
          </w:p>
        </w:tc>
        <w:tc>
          <w:tcPr>
            <w:tcW w:w="194" w:type="dxa"/>
            <w:shd w:val="clear" w:color="auto" w:fill="FFFFFF" w:themeFill="background1"/>
          </w:tcPr>
          <w:p w:rsidR="00C0001A" w:rsidRPr="00B5346F" w:rsidRDefault="00C0001A" w:rsidP="00122C71"/>
        </w:tc>
        <w:tc>
          <w:tcPr>
            <w:tcW w:w="3324" w:type="dxa"/>
            <w:tcBorders>
              <w:top w:val="single" w:sz="4" w:space="0" w:color="D1C5C3" w:themeColor="accent3"/>
              <w:bottom w:val="single" w:sz="4" w:space="0" w:color="D1C5C3" w:themeColor="accent3"/>
            </w:tcBorders>
            <w:shd w:val="clear" w:color="auto" w:fill="FBF9F9"/>
          </w:tcPr>
          <w:p w:rsidR="0095523F" w:rsidRDefault="0095523F" w:rsidP="0069734D">
            <w:pPr>
              <w:pStyle w:val="Tabel-BrdtekstmedafstandptekstGaramond"/>
            </w:pPr>
            <w:r w:rsidRPr="0095523F">
              <w:t>Lovforslaget</w:t>
            </w:r>
            <w:r w:rsidR="00035CF6">
              <w:t xml:space="preserve"> </w:t>
            </w:r>
            <w:r w:rsidRPr="0095523F">
              <w:t>giver ikke Danske Advokater anledning til at udtale sig for så vidt angår lovforslagets fordelingspolitiske indhold om ophævelse af konsolideringsfr</w:t>
            </w:r>
            <w:r w:rsidRPr="0095523F">
              <w:t>a</w:t>
            </w:r>
            <w:r w:rsidRPr="0095523F">
              <w:t>draget og overførselsreglen.</w:t>
            </w:r>
          </w:p>
          <w:p w:rsidR="0069734D" w:rsidRPr="0095523F" w:rsidRDefault="0069734D" w:rsidP="0069734D">
            <w:pPr>
              <w:pStyle w:val="Tabel-BrdtekstmedafstandptekstGaramond"/>
            </w:pPr>
          </w:p>
          <w:p w:rsidR="0095523F" w:rsidRPr="0095523F" w:rsidRDefault="0095523F" w:rsidP="002C475A">
            <w:pPr>
              <w:pStyle w:val="Tabel-BrdtekstmedafstandptekstGaramond"/>
            </w:pPr>
            <w:r w:rsidRPr="0095523F">
              <w:t xml:space="preserve">Ifølge lovforslaget skal loven træde i kraft den 1. januar 2016, men således at ophævelsen af konsolideringsfradraget skal have </w:t>
            </w:r>
            <w:r w:rsidRPr="0095523F">
              <w:lastRenderedPageBreak/>
              <w:t>virkning allerede fra fremsætte</w:t>
            </w:r>
            <w:r w:rsidRPr="0095523F">
              <w:t>l</w:t>
            </w:r>
            <w:r w:rsidRPr="0095523F">
              <w:t xml:space="preserve">sesdagen. </w:t>
            </w:r>
            <w:r w:rsidR="00035CF6">
              <w:t>Denne fremrykkelse af</w:t>
            </w:r>
            <w:r w:rsidRPr="0095523F">
              <w:t xml:space="preserve"> virkningstidspunktet </w:t>
            </w:r>
            <w:r w:rsidR="00035CF6">
              <w:t>foreslås</w:t>
            </w:r>
            <w:r w:rsidRPr="0095523F">
              <w:t xml:space="preserve"> for </w:t>
            </w:r>
            <w:r w:rsidR="00035CF6">
              <w:t xml:space="preserve">at </w:t>
            </w:r>
            <w:r w:rsidRPr="0095523F">
              <w:t>undgå, at fonde efter fremsæ</w:t>
            </w:r>
            <w:r w:rsidRPr="0095523F">
              <w:t>t</w:t>
            </w:r>
            <w:r w:rsidRPr="0095523F">
              <w:t>telsen af lovforslaget og inden udløbet af indkomståret forøger konsolideringsfradraget ved at øge uddelingen til almenvelg</w:t>
            </w:r>
            <w:r w:rsidRPr="0095523F">
              <w:t>ø</w:t>
            </w:r>
            <w:r w:rsidRPr="0095523F">
              <w:t>rende eller på anden måde a</w:t>
            </w:r>
            <w:r w:rsidRPr="0095523F">
              <w:t>l</w:t>
            </w:r>
            <w:r w:rsidRPr="0095523F">
              <w:t>mennyttige formål, som vil ku</w:t>
            </w:r>
            <w:r w:rsidRPr="0095523F">
              <w:t>n</w:t>
            </w:r>
            <w:r w:rsidRPr="0095523F">
              <w:t>ne reducere det forventede (ang</w:t>
            </w:r>
            <w:r w:rsidRPr="0095523F">
              <w:t>i</w:t>
            </w:r>
            <w:r w:rsidRPr="0095523F">
              <w:t xml:space="preserve">vet under stor henholdsvis meget stor usikkerhed) merprovenu ved loven. </w:t>
            </w:r>
          </w:p>
          <w:p w:rsidR="0095523F" w:rsidRPr="0095523F" w:rsidRDefault="0095523F" w:rsidP="002C475A">
            <w:pPr>
              <w:pStyle w:val="Tabel-BrdtekstmedafstandptekstGaramond"/>
            </w:pPr>
          </w:p>
          <w:p w:rsidR="0095523F" w:rsidRDefault="0095523F" w:rsidP="002C475A">
            <w:pPr>
              <w:pStyle w:val="Tabel-BrdtekstmedafstandptekstGaramond"/>
            </w:pPr>
            <w:r w:rsidRPr="0095523F">
              <w:t>Det er efter Danske Advokaters opfattelse generelt problematisk at tillægge en skærpende skatt</w:t>
            </w:r>
            <w:r w:rsidRPr="0095523F">
              <w:t>e</w:t>
            </w:r>
            <w:r w:rsidRPr="0095523F">
              <w:t>lov tilbagevirkende kraft. Dette gælder specielt, når der som her ikke er tale om indførelse af værnsregler, men alene lovgi</w:t>
            </w:r>
            <w:r w:rsidRPr="0095523F">
              <w:t>v</w:t>
            </w:r>
            <w:r w:rsidRPr="0095523F">
              <w:t>ning der har til formål at finansi</w:t>
            </w:r>
            <w:r w:rsidRPr="0095523F">
              <w:t>e</w:t>
            </w:r>
            <w:r w:rsidRPr="0095523F">
              <w:t>re en forbedring af vilkårene ved generationsskifte Den foreslåede virkningsbestemmelse vil ikke blot ramme de i bemærkningerne til lovforslaget nævnte uddeli</w:t>
            </w:r>
            <w:r w:rsidRPr="0095523F">
              <w:t>n</w:t>
            </w:r>
            <w:r w:rsidRPr="0095523F">
              <w:t>ger, som besluttes efter lovforsl</w:t>
            </w:r>
            <w:r w:rsidRPr="0095523F">
              <w:t>a</w:t>
            </w:r>
            <w:r w:rsidRPr="0095523F">
              <w:t>gets fremsættelse, men tillige all</w:t>
            </w:r>
            <w:r w:rsidRPr="0095523F">
              <w:t>e</w:t>
            </w:r>
            <w:r w:rsidRPr="0095523F">
              <w:t>rede planlagte, men endnu ikke gennemførte uddelinger. Derved gives loven også reelt tilbagevi</w:t>
            </w:r>
            <w:r w:rsidRPr="0095523F">
              <w:t>r</w:t>
            </w:r>
            <w:r w:rsidRPr="0095523F">
              <w:t xml:space="preserve">kende kraft. </w:t>
            </w:r>
          </w:p>
          <w:p w:rsidR="002C475A" w:rsidRPr="0095523F" w:rsidRDefault="002C475A" w:rsidP="002C475A">
            <w:pPr>
              <w:pStyle w:val="Tabel-BrdtekstmedafstandptekstGaramond"/>
            </w:pPr>
          </w:p>
          <w:p w:rsidR="0095523F" w:rsidRDefault="0095523F" w:rsidP="002C475A">
            <w:pPr>
              <w:pStyle w:val="Tabel-BrdtekstmedafstandptekstGaramond"/>
            </w:pPr>
            <w:r w:rsidRPr="0095523F">
              <w:t>Dette er efter Danske Advok</w:t>
            </w:r>
            <w:r w:rsidRPr="0095523F">
              <w:t>a</w:t>
            </w:r>
            <w:r w:rsidRPr="0095523F">
              <w:t>ters opfattelse retssikkerhed</w:t>
            </w:r>
            <w:r w:rsidRPr="0095523F">
              <w:t>s</w:t>
            </w:r>
            <w:r w:rsidRPr="0095523F">
              <w:t>mæssigt betænkeligt, og Danske Advokater foreslår derfor, at o</w:t>
            </w:r>
            <w:r w:rsidRPr="0095523F">
              <w:t>g</w:t>
            </w:r>
            <w:r w:rsidRPr="0095523F">
              <w:t>så ophævelsen af konsolidering</w:t>
            </w:r>
            <w:r w:rsidRPr="0095523F">
              <w:t>s</w:t>
            </w:r>
            <w:r w:rsidRPr="0095523F">
              <w:t>fradraget først tillægges virkning fra lovens almindelige ikrafttr</w:t>
            </w:r>
            <w:r w:rsidRPr="0095523F">
              <w:t>æ</w:t>
            </w:r>
            <w:r w:rsidRPr="0095523F">
              <w:t xml:space="preserve">delsestidspunkt den 1. januar 2016. </w:t>
            </w:r>
          </w:p>
          <w:p w:rsidR="00A1146B" w:rsidRDefault="00A1146B" w:rsidP="002C475A">
            <w:pPr>
              <w:pStyle w:val="Tabel-BrdtekstmedafstandptekstGaramond"/>
            </w:pPr>
          </w:p>
          <w:p w:rsidR="00C0001A" w:rsidRPr="00B5346F" w:rsidRDefault="009716C4" w:rsidP="002C475A">
            <w:pPr>
              <w:pStyle w:val="Tabel-BrdtekstmedafstandptekstGaramond"/>
            </w:pPr>
            <w:r>
              <w:t>Det</w:t>
            </w:r>
            <w:r w:rsidR="0095523F" w:rsidRPr="0095523F">
              <w:t xml:space="preserve"> </w:t>
            </w:r>
            <w:r>
              <w:t xml:space="preserve">er desuden uheldigt, at </w:t>
            </w:r>
            <w:r w:rsidR="0095523F" w:rsidRPr="0095523F">
              <w:t>lo</w:t>
            </w:r>
            <w:r w:rsidR="0095523F" w:rsidRPr="0095523F">
              <w:t>v</w:t>
            </w:r>
            <w:r w:rsidR="0095523F" w:rsidRPr="0095523F">
              <w:t xml:space="preserve">forslaget </w:t>
            </w:r>
            <w:r>
              <w:t>er sendt</w:t>
            </w:r>
            <w:r w:rsidR="0095523F" w:rsidRPr="0095523F">
              <w:t xml:space="preserve"> i høring med en meget kort høringsfrist på en uge.</w:t>
            </w:r>
          </w:p>
        </w:tc>
        <w:tc>
          <w:tcPr>
            <w:tcW w:w="209" w:type="dxa"/>
            <w:shd w:val="clear" w:color="auto" w:fill="FFFFFF" w:themeFill="background1"/>
          </w:tcPr>
          <w:p w:rsidR="00C0001A" w:rsidRPr="00B5346F" w:rsidRDefault="00C0001A" w:rsidP="00122C71"/>
        </w:tc>
        <w:tc>
          <w:tcPr>
            <w:tcW w:w="3259" w:type="dxa"/>
            <w:tcBorders>
              <w:top w:val="single" w:sz="4" w:space="0" w:color="14143C" w:themeColor="accent1"/>
              <w:bottom w:val="single" w:sz="4" w:space="0" w:color="14143C" w:themeColor="accent1"/>
            </w:tcBorders>
            <w:shd w:val="clear" w:color="auto" w:fill="D2CED8"/>
          </w:tcPr>
          <w:p w:rsidR="00C0001A" w:rsidRDefault="00C0001A" w:rsidP="00122C71">
            <w:pPr>
              <w:pStyle w:val="Tabel-BrdtekstmedafstandptekstGaramond"/>
            </w:pPr>
          </w:p>
          <w:p w:rsidR="00AA37B6" w:rsidRDefault="00AA37B6" w:rsidP="00122C71">
            <w:pPr>
              <w:pStyle w:val="Tabel-BrdtekstmedafstandptekstGaramond"/>
            </w:pPr>
          </w:p>
          <w:p w:rsidR="00AA37B6" w:rsidRDefault="00AA37B6" w:rsidP="00122C71">
            <w:pPr>
              <w:pStyle w:val="Tabel-BrdtekstmedafstandptekstGaramond"/>
            </w:pPr>
          </w:p>
          <w:p w:rsidR="00AA37B6" w:rsidRDefault="00AA37B6" w:rsidP="00122C71">
            <w:pPr>
              <w:pStyle w:val="Tabel-BrdtekstmedafstandptekstGaramond"/>
            </w:pPr>
          </w:p>
          <w:p w:rsidR="00AA37B6" w:rsidRDefault="00AA37B6" w:rsidP="00122C71">
            <w:pPr>
              <w:pStyle w:val="Tabel-BrdtekstmedafstandptekstGaramond"/>
            </w:pPr>
          </w:p>
          <w:p w:rsidR="00AA37B6" w:rsidRDefault="00AA37B6" w:rsidP="00122C71">
            <w:pPr>
              <w:pStyle w:val="Tabel-BrdtekstmedafstandptekstGaramond"/>
            </w:pPr>
          </w:p>
          <w:p w:rsidR="00AA37B6" w:rsidRDefault="00AA37B6" w:rsidP="00122C71">
            <w:pPr>
              <w:pStyle w:val="Tabel-BrdtekstmedafstandptekstGaramond"/>
            </w:pPr>
          </w:p>
          <w:p w:rsidR="00885690" w:rsidRDefault="00AA37B6" w:rsidP="00885690">
            <w:pPr>
              <w:pStyle w:val="Tabel-BrdtekstmedafstandptekstGaramond"/>
            </w:pPr>
            <w:r>
              <w:t>Der henvises til kommentaren til Carlsbergfondet</w:t>
            </w:r>
            <w:r w:rsidR="00885690">
              <w:t>, hvor det er b</w:t>
            </w:r>
            <w:r w:rsidR="00885690">
              <w:t>e</w:t>
            </w:r>
            <w:r w:rsidR="00885690">
              <w:t xml:space="preserve">skrevet, at </w:t>
            </w:r>
            <w:r w:rsidR="00A115DB">
              <w:t xml:space="preserve">der vil blive </w:t>
            </w:r>
            <w:r w:rsidR="00885690">
              <w:t>stille</w:t>
            </w:r>
            <w:r w:rsidR="00A115DB">
              <w:t>t et</w:t>
            </w:r>
            <w:r w:rsidR="00885690">
              <w:t xml:space="preserve"> ændringsforslag </w:t>
            </w:r>
            <w:r w:rsidR="00885690" w:rsidRPr="002963C0">
              <w:t>vedrørende fo</w:t>
            </w:r>
            <w:r w:rsidR="00885690" w:rsidRPr="002963C0">
              <w:t>r</w:t>
            </w:r>
            <w:r w:rsidR="00885690" w:rsidRPr="002963C0">
              <w:lastRenderedPageBreak/>
              <w:t>slaget til virkningstidspunkt for ophævelsen af konsolidering</w:t>
            </w:r>
            <w:r w:rsidR="00885690" w:rsidRPr="002963C0">
              <w:t>s</w:t>
            </w:r>
            <w:r w:rsidR="00885690" w:rsidRPr="002963C0">
              <w:t>reglen.</w:t>
            </w:r>
          </w:p>
          <w:p w:rsidR="00AA37B6" w:rsidRDefault="00AA37B6" w:rsidP="00122C71">
            <w:pPr>
              <w:pStyle w:val="Tabel-BrdtekstmedafstandptekstGaramond"/>
            </w:pPr>
          </w:p>
          <w:p w:rsidR="00AA37B6" w:rsidRDefault="00AA37B6" w:rsidP="00122C71">
            <w:pPr>
              <w:pStyle w:val="Tabel-BrdtekstmedafstandptekstGaramond"/>
            </w:pPr>
          </w:p>
          <w:p w:rsidR="00AA37B6" w:rsidRDefault="00AA37B6" w:rsidP="00122C71">
            <w:pPr>
              <w:pStyle w:val="Tabel-BrdtekstmedafstandptekstGaramond"/>
            </w:pPr>
          </w:p>
          <w:p w:rsidR="00AA37B6" w:rsidRDefault="00AA37B6" w:rsidP="00122C71">
            <w:pPr>
              <w:pStyle w:val="Tabel-BrdtekstmedafstandptekstGaramond"/>
            </w:pPr>
          </w:p>
          <w:p w:rsidR="00AA37B6" w:rsidRDefault="00AA37B6" w:rsidP="00122C71">
            <w:pPr>
              <w:pStyle w:val="Tabel-BrdtekstmedafstandptekstGaramond"/>
            </w:pPr>
          </w:p>
          <w:p w:rsidR="00AA37B6" w:rsidRDefault="00AA37B6" w:rsidP="00122C71">
            <w:pPr>
              <w:pStyle w:val="Tabel-BrdtekstmedafstandptekstGaramond"/>
            </w:pPr>
          </w:p>
          <w:p w:rsidR="00AA37B6" w:rsidRDefault="00AA37B6" w:rsidP="00122C71">
            <w:pPr>
              <w:pStyle w:val="Tabel-BrdtekstmedafstandptekstGaramond"/>
            </w:pPr>
          </w:p>
          <w:p w:rsidR="00EE088D" w:rsidRDefault="00EE088D" w:rsidP="00122C71">
            <w:pPr>
              <w:pStyle w:val="Tabel-BrdtekstmedafstandptekstGaramond"/>
            </w:pPr>
          </w:p>
          <w:p w:rsidR="00EE088D" w:rsidRPr="00EE088D" w:rsidRDefault="00EE088D" w:rsidP="00D766F7"/>
          <w:p w:rsidR="00EE088D" w:rsidRPr="00EE088D" w:rsidRDefault="00EE088D" w:rsidP="00D766F7"/>
          <w:p w:rsidR="00EE088D" w:rsidRPr="00EE088D" w:rsidRDefault="00EE088D" w:rsidP="00D766F7"/>
          <w:p w:rsidR="00EE088D" w:rsidRPr="00EE088D" w:rsidRDefault="00EE088D" w:rsidP="00D766F7"/>
          <w:p w:rsidR="00EE088D" w:rsidRPr="00EE088D" w:rsidRDefault="00EE088D" w:rsidP="00D766F7"/>
          <w:p w:rsidR="00EE088D" w:rsidRPr="00EE088D" w:rsidRDefault="00EE088D" w:rsidP="00D766F7"/>
          <w:p w:rsidR="00EE088D" w:rsidRPr="00EE088D" w:rsidRDefault="00EE088D" w:rsidP="00D766F7"/>
          <w:p w:rsidR="00EE088D" w:rsidRPr="00EE088D" w:rsidRDefault="00EE088D" w:rsidP="00D766F7"/>
          <w:p w:rsidR="00EE088D" w:rsidRPr="00EE088D" w:rsidRDefault="00EE088D" w:rsidP="00D766F7"/>
          <w:p w:rsidR="00EE088D" w:rsidRPr="00EE088D" w:rsidRDefault="00EE088D" w:rsidP="00D766F7"/>
          <w:p w:rsidR="00EE088D" w:rsidRPr="00EE088D" w:rsidRDefault="00EE088D" w:rsidP="00D766F7"/>
          <w:p w:rsidR="00EE088D" w:rsidRPr="00EE088D" w:rsidRDefault="00EE088D" w:rsidP="00D766F7"/>
          <w:p w:rsidR="00EE088D" w:rsidRPr="00EE088D" w:rsidRDefault="00EE088D" w:rsidP="00D766F7"/>
          <w:p w:rsidR="00EE088D" w:rsidRDefault="00EE088D" w:rsidP="00EE088D"/>
          <w:p w:rsidR="00EE088D" w:rsidRDefault="00EE088D" w:rsidP="00EE088D"/>
          <w:p w:rsidR="00EE088D" w:rsidRDefault="00EE088D" w:rsidP="00EE088D"/>
          <w:p w:rsidR="00EE088D" w:rsidRPr="00EE088D" w:rsidRDefault="00EE088D"/>
          <w:p w:rsidR="00EE088D" w:rsidRPr="00EE088D" w:rsidRDefault="00EE088D"/>
          <w:p w:rsidR="00EE088D" w:rsidRPr="00EE088D" w:rsidRDefault="00EE088D"/>
          <w:p w:rsidR="00EE088D" w:rsidRPr="00EE088D" w:rsidRDefault="00EE088D"/>
          <w:p w:rsidR="00EE088D" w:rsidRPr="00EE088D" w:rsidRDefault="00EE088D"/>
          <w:p w:rsidR="00EE088D" w:rsidRPr="00EE088D" w:rsidRDefault="00EE088D"/>
          <w:p w:rsidR="00EE088D" w:rsidRPr="00EE088D" w:rsidRDefault="00EE088D"/>
          <w:p w:rsidR="00EE088D" w:rsidRPr="00EE088D" w:rsidRDefault="00EE088D"/>
          <w:p w:rsidR="00EE088D" w:rsidRPr="00EE088D" w:rsidRDefault="00EE088D"/>
          <w:p w:rsidR="00EE088D" w:rsidRPr="00EE088D" w:rsidRDefault="00EE088D"/>
          <w:p w:rsidR="00EE088D" w:rsidRPr="00EE088D" w:rsidRDefault="00EE088D"/>
          <w:p w:rsidR="00EE088D" w:rsidRPr="00EE088D" w:rsidRDefault="00EE088D"/>
          <w:p w:rsidR="00EE088D" w:rsidRPr="00EE088D" w:rsidRDefault="00EE088D"/>
          <w:p w:rsidR="00EE088D" w:rsidRDefault="00EE088D"/>
          <w:p w:rsidR="00A1146B" w:rsidRPr="00EE088D" w:rsidRDefault="00A1146B"/>
          <w:p w:rsidR="00EE088D" w:rsidRPr="00EE088D" w:rsidRDefault="00EE088D"/>
          <w:p w:rsidR="00EE088D" w:rsidRDefault="00EE088D" w:rsidP="00BF28F1">
            <w:pPr>
              <w:pStyle w:val="Tabel-BrdtekstmedafstandptekstGaramond"/>
            </w:pPr>
            <w:r>
              <w:lastRenderedPageBreak/>
              <w:t>Der henvises til kommentaren til CEPOS.</w:t>
            </w:r>
          </w:p>
          <w:p w:rsidR="00AA37B6" w:rsidRPr="00EE088D" w:rsidRDefault="00AA37B6" w:rsidP="00D766F7"/>
        </w:tc>
      </w:tr>
      <w:tr w:rsidR="008570E7" w:rsidRPr="00B5346F" w:rsidTr="00C87589">
        <w:tc>
          <w:tcPr>
            <w:tcW w:w="2653" w:type="dxa"/>
            <w:tcBorders>
              <w:top w:val="single" w:sz="4" w:space="0" w:color="D1C5C3" w:themeColor="accent3"/>
              <w:bottom w:val="single" w:sz="4" w:space="0" w:color="D1C5C3" w:themeColor="accent3"/>
            </w:tcBorders>
            <w:shd w:val="clear" w:color="auto" w:fill="FBF9F9"/>
          </w:tcPr>
          <w:p w:rsidR="008570E7" w:rsidRDefault="008570E7" w:rsidP="00C0001A">
            <w:pPr>
              <w:pStyle w:val="Tabel-BrdtekstmedafstandptekstGaramond"/>
              <w:rPr>
                <w:i/>
              </w:rPr>
            </w:pPr>
            <w:r>
              <w:rPr>
                <w:i/>
              </w:rPr>
              <w:lastRenderedPageBreak/>
              <w:t>Danske Universiteter</w:t>
            </w:r>
          </w:p>
        </w:tc>
        <w:tc>
          <w:tcPr>
            <w:tcW w:w="194" w:type="dxa"/>
            <w:shd w:val="clear" w:color="auto" w:fill="FFFFFF" w:themeFill="background1"/>
          </w:tcPr>
          <w:p w:rsidR="008570E7" w:rsidRPr="00B5346F" w:rsidRDefault="008570E7" w:rsidP="00122C71"/>
        </w:tc>
        <w:tc>
          <w:tcPr>
            <w:tcW w:w="3324" w:type="dxa"/>
            <w:tcBorders>
              <w:top w:val="single" w:sz="4" w:space="0" w:color="D1C5C3" w:themeColor="accent3"/>
              <w:bottom w:val="single" w:sz="4" w:space="0" w:color="D1C5C3" w:themeColor="accent3"/>
            </w:tcBorders>
            <w:shd w:val="clear" w:color="auto" w:fill="FBF9F9"/>
          </w:tcPr>
          <w:p w:rsidR="008570E7" w:rsidRDefault="00FF527A" w:rsidP="002C475A">
            <w:pPr>
              <w:pStyle w:val="Tabel-BrdtekstmedafstandptekstGaramond"/>
            </w:pPr>
            <w:r>
              <w:t xml:space="preserve">Danske </w:t>
            </w:r>
            <w:r w:rsidR="00215B5B" w:rsidRPr="00233682">
              <w:t>U</w:t>
            </w:r>
            <w:r w:rsidRPr="00233682">
              <w:t>niversiteter</w:t>
            </w:r>
            <w:r w:rsidR="00215B5B" w:rsidRPr="00233682">
              <w:t xml:space="preserve"> anfører, at m</w:t>
            </w:r>
            <w:r w:rsidR="00330E4B" w:rsidRPr="00233682">
              <w:t>ed</w:t>
            </w:r>
            <w:r w:rsidR="00330E4B">
              <w:t xml:space="preserve"> de foreløbige meldinger fra de private </w:t>
            </w:r>
            <w:r w:rsidR="00EF6F3A">
              <w:t>fonde kan man se, at realiteten for universiteterne kan være en reduceret tiltrækning af private midler i endnu større sk</w:t>
            </w:r>
            <w:r w:rsidR="00EF6F3A">
              <w:t>a</w:t>
            </w:r>
            <w:r w:rsidR="00EF6F3A">
              <w:t>la</w:t>
            </w:r>
            <w:r w:rsidR="00215B5B">
              <w:t xml:space="preserve"> end det forventede merprov</w:t>
            </w:r>
            <w:r w:rsidR="00215B5B">
              <w:t>e</w:t>
            </w:r>
            <w:r w:rsidR="00215B5B">
              <w:t>nu på 200 mio. kr.,</w:t>
            </w:r>
            <w:r w:rsidR="00EF6F3A">
              <w:t xml:space="preserve"> </w:t>
            </w:r>
            <w:r w:rsidR="00215B5B">
              <w:t>og at det i</w:t>
            </w:r>
            <w:r w:rsidR="00EF6F3A">
              <w:t xml:space="preserve"> en periode med endog meget store beskæringer på offentlig forske</w:t>
            </w:r>
            <w:r w:rsidR="00EF6F3A">
              <w:t>r</w:t>
            </w:r>
            <w:r w:rsidR="00233682">
              <w:t xml:space="preserve">finansiering er </w:t>
            </w:r>
            <w:r w:rsidR="00EF6F3A">
              <w:t>en meget uheldig udvikling.</w:t>
            </w:r>
          </w:p>
          <w:p w:rsidR="00EF6F3A" w:rsidRDefault="00EF6F3A" w:rsidP="002C475A">
            <w:pPr>
              <w:pStyle w:val="Tabel-BrdtekstmedafstandptekstGaramond"/>
            </w:pPr>
          </w:p>
          <w:p w:rsidR="00EF6F3A" w:rsidRDefault="00EF6F3A" w:rsidP="002C475A">
            <w:pPr>
              <w:pStyle w:val="Tabel-BrdtekstmedafstandptekstGaramond"/>
            </w:pPr>
            <w:r>
              <w:t>På længere sigt er det også uhe</w:t>
            </w:r>
            <w:r>
              <w:t>l</w:t>
            </w:r>
            <w:r>
              <w:t>digt, at forslaget kan føre til en udhuling af fondenes kapita</w:t>
            </w:r>
            <w:r>
              <w:t>l</w:t>
            </w:r>
            <w:r>
              <w:t>grundlag og dermed deres muli</w:t>
            </w:r>
            <w:r>
              <w:t>g</w:t>
            </w:r>
            <w:r>
              <w:t>hed for at tage samfundsansvar i forhold til udviklingen af det danske samfund. Ikke mindst er ændringen uheldig i lyset af den danske virksomhedsstruktur med flere store, fondsejede virkso</w:t>
            </w:r>
            <w:r>
              <w:t>m</w:t>
            </w:r>
            <w:r>
              <w:t xml:space="preserve">heder. </w:t>
            </w:r>
            <w:r w:rsidR="00215B5B">
              <w:t>Danske Universiteter m</w:t>
            </w:r>
            <w:r w:rsidR="00215B5B">
              <w:t>e</w:t>
            </w:r>
            <w:r w:rsidR="00215B5B">
              <w:t>ner, at o</w:t>
            </w:r>
            <w:r>
              <w:t>mlægningen således i praksis</w:t>
            </w:r>
            <w:r w:rsidR="00215B5B">
              <w:t xml:space="preserve"> vil</w:t>
            </w:r>
            <w:r>
              <w:t xml:space="preserve"> underminere univers</w:t>
            </w:r>
            <w:r>
              <w:t>i</w:t>
            </w:r>
            <w:r>
              <w:t>teternes fortsatte arbejde for at samarbejde tæt med dansk e</w:t>
            </w:r>
            <w:r>
              <w:t>r</w:t>
            </w:r>
            <w:r>
              <w:t>hvervsliv.</w:t>
            </w:r>
          </w:p>
          <w:p w:rsidR="00C76ABB" w:rsidRDefault="00C76ABB" w:rsidP="002C475A">
            <w:pPr>
              <w:pStyle w:val="Tabel-BrdtekstmedafstandptekstGaramond"/>
            </w:pPr>
          </w:p>
          <w:p w:rsidR="00EF6F3A" w:rsidRDefault="00EF6F3A" w:rsidP="002C475A">
            <w:pPr>
              <w:pStyle w:val="Tabel-BrdtekstmedafstandptekstGaramond"/>
            </w:pPr>
            <w:r>
              <w:t>Danske Universiteter håber fø</w:t>
            </w:r>
            <w:r>
              <w:t>l</w:t>
            </w:r>
            <w:r>
              <w:t>gelig på, at der i stedet skabes bedre rammer for forskning</w:t>
            </w:r>
            <w:r>
              <w:t>s</w:t>
            </w:r>
            <w:r>
              <w:t>samarbejde mellem fonde og universiteter til glæde for fremt</w:t>
            </w:r>
            <w:r>
              <w:t>i</w:t>
            </w:r>
            <w:r>
              <w:t>dig vækst og velstand.</w:t>
            </w:r>
          </w:p>
          <w:p w:rsidR="00C76ABB" w:rsidRPr="00B5346F" w:rsidRDefault="00C76ABB" w:rsidP="002C475A">
            <w:pPr>
              <w:pStyle w:val="Tabel-BrdtekstmedafstandptekstGaramond"/>
            </w:pPr>
          </w:p>
        </w:tc>
        <w:tc>
          <w:tcPr>
            <w:tcW w:w="209" w:type="dxa"/>
            <w:shd w:val="clear" w:color="auto" w:fill="FFFFFF" w:themeFill="background1"/>
          </w:tcPr>
          <w:p w:rsidR="008570E7" w:rsidRPr="00B5346F" w:rsidRDefault="008570E7" w:rsidP="002C475A">
            <w:pPr>
              <w:pStyle w:val="Tabel-BrdtekstmedafstandptekstGaramond"/>
            </w:pPr>
          </w:p>
        </w:tc>
        <w:tc>
          <w:tcPr>
            <w:tcW w:w="3259" w:type="dxa"/>
            <w:tcBorders>
              <w:top w:val="single" w:sz="4" w:space="0" w:color="14143C" w:themeColor="accent1"/>
              <w:bottom w:val="single" w:sz="4" w:space="0" w:color="14143C" w:themeColor="accent1"/>
            </w:tcBorders>
            <w:shd w:val="clear" w:color="auto" w:fill="D2CED8"/>
          </w:tcPr>
          <w:p w:rsidR="008570E7" w:rsidRDefault="008570E7" w:rsidP="00122C71">
            <w:pPr>
              <w:pStyle w:val="Tabel-BrdtekstmedafstandptekstGaramond"/>
            </w:pPr>
          </w:p>
          <w:p w:rsidR="00191EA0" w:rsidRPr="00B5346F" w:rsidRDefault="00191EA0" w:rsidP="00122C71">
            <w:pPr>
              <w:pStyle w:val="Tabel-BrdtekstmedafstandptekstGaramond"/>
            </w:pPr>
            <w:r>
              <w:t>Der henvises til kommentaren til Akademikerne.</w:t>
            </w:r>
          </w:p>
        </w:tc>
      </w:tr>
      <w:tr w:rsidR="009A36E0" w:rsidRPr="00B5346F" w:rsidTr="00C87589">
        <w:tc>
          <w:tcPr>
            <w:tcW w:w="2653" w:type="dxa"/>
            <w:tcBorders>
              <w:top w:val="single" w:sz="4" w:space="0" w:color="D1C5C3" w:themeColor="accent3"/>
              <w:bottom w:val="single" w:sz="4" w:space="0" w:color="D1C5C3" w:themeColor="accent3"/>
            </w:tcBorders>
            <w:shd w:val="clear" w:color="auto" w:fill="FBF9F9"/>
          </w:tcPr>
          <w:p w:rsidR="00C0001A" w:rsidRPr="00600E3E" w:rsidRDefault="00C0001A" w:rsidP="00C0001A">
            <w:pPr>
              <w:pStyle w:val="Tabel-BrdtekstmedafstandptekstGaramond"/>
              <w:rPr>
                <w:i/>
              </w:rPr>
            </w:pPr>
            <w:r>
              <w:rPr>
                <w:i/>
              </w:rPr>
              <w:lastRenderedPageBreak/>
              <w:t>Danske Vandværker</w:t>
            </w:r>
          </w:p>
        </w:tc>
        <w:tc>
          <w:tcPr>
            <w:tcW w:w="194" w:type="dxa"/>
            <w:shd w:val="clear" w:color="auto" w:fill="FFFFFF" w:themeFill="background1"/>
          </w:tcPr>
          <w:p w:rsidR="00C0001A" w:rsidRPr="00B5346F" w:rsidRDefault="00C0001A" w:rsidP="00122C71"/>
        </w:tc>
        <w:tc>
          <w:tcPr>
            <w:tcW w:w="3324" w:type="dxa"/>
            <w:tcBorders>
              <w:top w:val="single" w:sz="4" w:space="0" w:color="D1C5C3" w:themeColor="accent3"/>
              <w:bottom w:val="single" w:sz="4" w:space="0" w:color="D1C5C3" w:themeColor="accent3"/>
            </w:tcBorders>
            <w:shd w:val="clear" w:color="auto" w:fill="FBF9F9"/>
          </w:tcPr>
          <w:p w:rsidR="00C76ABB" w:rsidRPr="00B5346F" w:rsidRDefault="00B2177B" w:rsidP="001A7FD0">
            <w:pPr>
              <w:pStyle w:val="Tabel-BrdtekstmedafstandptekstGaramond"/>
            </w:pPr>
            <w:r>
              <w:t>Danske Vandværker h</w:t>
            </w:r>
            <w:r w:rsidR="00EC56C2">
              <w:t>ar ingen bemærkninger.</w:t>
            </w:r>
          </w:p>
        </w:tc>
        <w:tc>
          <w:tcPr>
            <w:tcW w:w="209" w:type="dxa"/>
            <w:shd w:val="clear" w:color="auto" w:fill="FFFFFF" w:themeFill="background1"/>
          </w:tcPr>
          <w:p w:rsidR="00C0001A" w:rsidRPr="00B5346F" w:rsidRDefault="00C0001A" w:rsidP="00122C71"/>
        </w:tc>
        <w:tc>
          <w:tcPr>
            <w:tcW w:w="3259" w:type="dxa"/>
            <w:tcBorders>
              <w:top w:val="single" w:sz="4" w:space="0" w:color="14143C" w:themeColor="accent1"/>
              <w:bottom w:val="single" w:sz="4" w:space="0" w:color="14143C" w:themeColor="accent1"/>
            </w:tcBorders>
            <w:shd w:val="clear" w:color="auto" w:fill="D2CED8"/>
          </w:tcPr>
          <w:p w:rsidR="00C0001A" w:rsidRPr="00B5346F" w:rsidRDefault="00C0001A" w:rsidP="00122C71">
            <w:pPr>
              <w:pStyle w:val="Tabel-BrdtekstmedafstandptekstGaramond"/>
            </w:pPr>
          </w:p>
        </w:tc>
      </w:tr>
      <w:tr w:rsidR="008110A6" w:rsidRPr="00B5346F" w:rsidTr="00C87589">
        <w:tc>
          <w:tcPr>
            <w:tcW w:w="2653" w:type="dxa"/>
            <w:tcBorders>
              <w:top w:val="single" w:sz="4" w:space="0" w:color="D1C5C3" w:themeColor="accent3"/>
              <w:bottom w:val="single" w:sz="4" w:space="0" w:color="D1C5C3" w:themeColor="accent3"/>
            </w:tcBorders>
            <w:shd w:val="clear" w:color="auto" w:fill="FBF9F9"/>
          </w:tcPr>
          <w:p w:rsidR="008110A6" w:rsidRDefault="008110A6" w:rsidP="00C0001A">
            <w:pPr>
              <w:pStyle w:val="Tabel-BrdtekstmedafstandptekstGaramond"/>
              <w:rPr>
                <w:i/>
              </w:rPr>
            </w:pPr>
            <w:r>
              <w:rPr>
                <w:i/>
              </w:rPr>
              <w:t>Deloitte, EY, KPMG og PwC</w:t>
            </w:r>
          </w:p>
        </w:tc>
        <w:tc>
          <w:tcPr>
            <w:tcW w:w="194" w:type="dxa"/>
            <w:shd w:val="clear" w:color="auto" w:fill="FFFFFF" w:themeFill="background1"/>
          </w:tcPr>
          <w:p w:rsidR="008110A6" w:rsidRPr="00B5346F" w:rsidRDefault="008110A6" w:rsidP="00122C71"/>
        </w:tc>
        <w:tc>
          <w:tcPr>
            <w:tcW w:w="3324" w:type="dxa"/>
            <w:tcBorders>
              <w:top w:val="single" w:sz="4" w:space="0" w:color="D1C5C3" w:themeColor="accent3"/>
              <w:bottom w:val="single" w:sz="4" w:space="0" w:color="D1C5C3" w:themeColor="accent3"/>
            </w:tcBorders>
            <w:shd w:val="clear" w:color="auto" w:fill="FBF9F9"/>
          </w:tcPr>
          <w:p w:rsidR="008110A6" w:rsidRDefault="00534B31" w:rsidP="001429F5">
            <w:pPr>
              <w:pStyle w:val="Tabel-BrdtekstmedafstandptekstGaramond"/>
            </w:pPr>
            <w:r>
              <w:t>Deloitte, EY, KPMG og PwC anbefaler p</w:t>
            </w:r>
            <w:r w:rsidR="00C211E6" w:rsidRPr="00C211E6">
              <w:t>å vegne af en række større fonde</w:t>
            </w:r>
            <w:r w:rsidR="00C211E6">
              <w:t>, at behandlingen af</w:t>
            </w:r>
            <w:r w:rsidR="00C211E6" w:rsidRPr="00C211E6">
              <w:t xml:space="preserve"> lovforslag</w:t>
            </w:r>
            <w:r w:rsidR="00C211E6">
              <w:t>et</w:t>
            </w:r>
            <w:r w:rsidR="00C211E6" w:rsidRPr="00C211E6">
              <w:t xml:space="preserve"> udsættes</w:t>
            </w:r>
            <w:r w:rsidR="00AC5F42">
              <w:t>, da der</w:t>
            </w:r>
            <w:r w:rsidR="00C211E6" w:rsidRPr="00C211E6">
              <w:t xml:space="preserve"> er behov for en tilbundsgående an</w:t>
            </w:r>
            <w:r w:rsidR="00C211E6" w:rsidRPr="00C211E6">
              <w:t>a</w:t>
            </w:r>
            <w:r w:rsidR="00C211E6" w:rsidRPr="00C211E6">
              <w:t>ly</w:t>
            </w:r>
            <w:r w:rsidR="00C211E6">
              <w:t xml:space="preserve">se af </w:t>
            </w:r>
            <w:r w:rsidR="001429F5">
              <w:t>forslagets</w:t>
            </w:r>
            <w:r w:rsidR="00C211E6">
              <w:t xml:space="preserve"> sam</w:t>
            </w:r>
            <w:r w:rsidR="00C211E6" w:rsidRPr="00C211E6">
              <w:t>funds- og provenumæssige konsekvenser. De provenumæssige konsekve</w:t>
            </w:r>
            <w:r w:rsidR="00C211E6" w:rsidRPr="00C211E6">
              <w:t>n</w:t>
            </w:r>
            <w:r w:rsidR="00C211E6" w:rsidRPr="00C211E6">
              <w:t>ser, der er angivet i lovforslaget</w:t>
            </w:r>
            <w:r w:rsidR="001429F5">
              <w:t>,</w:t>
            </w:r>
            <w:r w:rsidR="00C211E6" w:rsidRPr="00C211E6">
              <w:t xml:space="preserve"> forekommer umiddelbart at give et forkert billede af de faktiske forhold.</w:t>
            </w:r>
          </w:p>
          <w:p w:rsidR="00AC5F42" w:rsidRPr="00AC5F42" w:rsidRDefault="00AC5F42" w:rsidP="00AC5F42">
            <w:pPr>
              <w:pStyle w:val="Tabel-BrdtekstmedafstandptekstGaramond"/>
            </w:pPr>
          </w:p>
          <w:p w:rsidR="00AC5F42" w:rsidRDefault="00AC5F42" w:rsidP="00005DCE">
            <w:pPr>
              <w:pStyle w:val="Tabel-BrdtekstmedafstandptekstGaramond"/>
            </w:pPr>
            <w:r>
              <w:t>På baggrund af oplysninger om 23 stø</w:t>
            </w:r>
            <w:r w:rsidR="00005DCE">
              <w:t>rre</w:t>
            </w:r>
            <w:r>
              <w:t xml:space="preserve"> fondes uddelinger i </w:t>
            </w:r>
            <w:r w:rsidRPr="00AC5F42">
              <w:t xml:space="preserve">2012, 2013 og 2014 </w:t>
            </w:r>
            <w:r>
              <w:t>samt oply</w:t>
            </w:r>
            <w:r>
              <w:t>s</w:t>
            </w:r>
            <w:r>
              <w:t xml:space="preserve">ninger om </w:t>
            </w:r>
            <w:r w:rsidRPr="00AC5F42">
              <w:t>skatteværdi</w:t>
            </w:r>
            <w:r>
              <w:t>en</w:t>
            </w:r>
            <w:r w:rsidRPr="00AC5F42">
              <w:t xml:space="preserve"> af </w:t>
            </w:r>
            <w:r>
              <w:t>fo</w:t>
            </w:r>
            <w:r>
              <w:t>n</w:t>
            </w:r>
            <w:r>
              <w:t xml:space="preserve">denes </w:t>
            </w:r>
            <w:r w:rsidRPr="00AC5F42">
              <w:t>anvend</w:t>
            </w:r>
            <w:r>
              <w:t>else af</w:t>
            </w:r>
            <w:r w:rsidRPr="00AC5F42">
              <w:t xml:space="preserve"> konsolid</w:t>
            </w:r>
            <w:r w:rsidRPr="00AC5F42">
              <w:t>e</w:t>
            </w:r>
            <w:r w:rsidRPr="00AC5F42">
              <w:t>ringsfradrag</w:t>
            </w:r>
            <w:r w:rsidR="00005DCE">
              <w:t>et</w:t>
            </w:r>
            <w:r w:rsidRPr="00AC5F42">
              <w:t xml:space="preserve"> og </w:t>
            </w:r>
            <w:r w:rsidR="00005DCE">
              <w:t>overførsels</w:t>
            </w:r>
            <w:r w:rsidRPr="00AC5F42">
              <w:t>re</w:t>
            </w:r>
            <w:r w:rsidRPr="00AC5F42">
              <w:t>g</w:t>
            </w:r>
            <w:r w:rsidR="00005DCE">
              <w:t>len konkluderes, at d</w:t>
            </w:r>
            <w:r w:rsidRPr="00AC5F42">
              <w:t>e herved fremkomne talmæssige oplysni</w:t>
            </w:r>
            <w:r w:rsidRPr="00AC5F42">
              <w:t>n</w:t>
            </w:r>
            <w:r w:rsidRPr="00AC5F42">
              <w:t>ger afviger umiddelbart så v</w:t>
            </w:r>
            <w:r w:rsidRPr="00AC5F42">
              <w:t>æ</w:t>
            </w:r>
            <w:r w:rsidRPr="00AC5F42">
              <w:t>sentligt fra de provenus</w:t>
            </w:r>
            <w:r w:rsidR="00005DCE">
              <w:t>køn, der er angivet i lovforsla</w:t>
            </w:r>
            <w:r w:rsidRPr="00AC5F42">
              <w:t>get, at det bør give anledning til, at behan</w:t>
            </w:r>
            <w:r w:rsidRPr="00AC5F42">
              <w:t>d</w:t>
            </w:r>
            <w:r w:rsidRPr="00AC5F42">
              <w:t xml:space="preserve">lingen af lovforslaget udsættes, indtil konsekvenserne af </w:t>
            </w:r>
            <w:r w:rsidR="00005DCE" w:rsidRPr="00AC5F42">
              <w:t>forslaget</w:t>
            </w:r>
            <w:r w:rsidRPr="00AC5F42">
              <w:t xml:space="preserve"> er tilstrækkeligt belyst. Dette ikke mindst i lyset af de konsekvenser, en gennemførelse af forslaget har for størrelsen af de almennyttige uddelinger, som fonde foretager til forskning, kultur, sociale fo</w:t>
            </w:r>
            <w:r w:rsidRPr="00AC5F42">
              <w:t>r</w:t>
            </w:r>
            <w:r w:rsidRPr="00AC5F42">
              <w:t>mål etc., og at lovforslaget har øjeblikkelig ikrafttræden.</w:t>
            </w:r>
          </w:p>
          <w:p w:rsidR="00C278C2" w:rsidRDefault="00C278C2" w:rsidP="00C278C2">
            <w:pPr>
              <w:pStyle w:val="Tabel-BrdtekstmedafstandptekstGaramond"/>
            </w:pPr>
          </w:p>
          <w:p w:rsidR="00C278C2" w:rsidRPr="00BD4B23" w:rsidRDefault="00C278C2" w:rsidP="00BD4B23">
            <w:pPr>
              <w:pStyle w:val="Tabel-BrdtekstmedafstandptekstGaramond"/>
            </w:pPr>
            <w:r w:rsidRPr="00BD4B23">
              <w:t>På baggrund af de modtagne o</w:t>
            </w:r>
            <w:r w:rsidRPr="00BD4B23">
              <w:t>p</w:t>
            </w:r>
            <w:r w:rsidRPr="00BD4B23">
              <w:t>lysninger kan den samlede ge</w:t>
            </w:r>
            <w:r w:rsidRPr="00BD4B23">
              <w:t>n</w:t>
            </w:r>
            <w:r w:rsidRPr="00BD4B23">
              <w:t>nemsnitlige skatteværdi af kons</w:t>
            </w:r>
            <w:r w:rsidRPr="00BD4B23">
              <w:t>o</w:t>
            </w:r>
            <w:r w:rsidRPr="00BD4B23">
              <w:lastRenderedPageBreak/>
              <w:t>lideringsfradrag og transparen</w:t>
            </w:r>
            <w:r w:rsidRPr="00BD4B23">
              <w:t>s</w:t>
            </w:r>
            <w:r w:rsidRPr="00BD4B23">
              <w:t>regel for de seneste tre in</w:t>
            </w:r>
            <w:r w:rsidRPr="00BD4B23">
              <w:t>d</w:t>
            </w:r>
            <w:r w:rsidRPr="00BD4B23">
              <w:t>komstår opgøres til 1.260 mio. kr. for de 23 medvirkende fonde mod det i lovforslaget anførte på 250 mio. kr. Begge tal er opgjort før tilbageløb og adfærdsændri</w:t>
            </w:r>
            <w:r w:rsidRPr="00BD4B23">
              <w:t>n</w:t>
            </w:r>
            <w:r w:rsidRPr="00BD4B23">
              <w:t>ger.</w:t>
            </w:r>
          </w:p>
          <w:p w:rsidR="00BD4B23" w:rsidRDefault="00BD4B23" w:rsidP="00BD4B23">
            <w:pPr>
              <w:pStyle w:val="Tabel-BrdtekstmedafstandptekstGaramond"/>
              <w:rPr>
                <w:sz w:val="20"/>
                <w:szCs w:val="20"/>
              </w:rPr>
            </w:pPr>
          </w:p>
          <w:p w:rsidR="00BD4B23" w:rsidRDefault="003E1CA1" w:rsidP="00BD4B23">
            <w:pPr>
              <w:pStyle w:val="Tabel-BrdtekstmedafstandptekstGaramond"/>
            </w:pPr>
            <w:r>
              <w:t>Deloitte m.fl. anfører, at o</w:t>
            </w:r>
            <w:r w:rsidR="00BD4B23" w:rsidRPr="00BD4B23">
              <w:t>pgøre</w:t>
            </w:r>
            <w:r w:rsidR="00BD4B23" w:rsidRPr="00BD4B23">
              <w:t>l</w:t>
            </w:r>
            <w:r w:rsidR="00BD4B23" w:rsidRPr="00BD4B23">
              <w:t>sen viser, at den faktiske skatt</w:t>
            </w:r>
            <w:r w:rsidR="00BD4B23" w:rsidRPr="00BD4B23">
              <w:t>e</w:t>
            </w:r>
            <w:r w:rsidR="00BD4B23" w:rsidRPr="00BD4B23">
              <w:t>værdi, af de regler, der foreslås ophævet, over de seneste tre år i gennemsnit har været mindst fem gange større end det, der angives i lovforslaget. Yderligere skal det tages i betragtning, at der er et ganske betydeligt antal fonde, hvis anvendelse af konsolid</w:t>
            </w:r>
            <w:r w:rsidR="00BD4B23" w:rsidRPr="00BD4B23">
              <w:t>e</w:t>
            </w:r>
            <w:r w:rsidR="00BD4B23" w:rsidRPr="00BD4B23">
              <w:t>ringsfradraget og overførselsre</w:t>
            </w:r>
            <w:r w:rsidR="00BD4B23" w:rsidRPr="00BD4B23">
              <w:t>g</w:t>
            </w:r>
            <w:r w:rsidR="00BD4B23" w:rsidRPr="00BD4B23">
              <w:t>len ikke er indeholdt i opgøre</w:t>
            </w:r>
            <w:r w:rsidR="00BD4B23" w:rsidRPr="00BD4B23">
              <w:t>l</w:t>
            </w:r>
            <w:r w:rsidR="00BD4B23" w:rsidRPr="00BD4B23">
              <w:t>serne. Så selv om opgørelsen o</w:t>
            </w:r>
            <w:r w:rsidR="00BD4B23" w:rsidRPr="00BD4B23">
              <w:t>m</w:t>
            </w:r>
            <w:r w:rsidR="00BD4B23" w:rsidRPr="00BD4B23">
              <w:t>fatter en række af de største fo</w:t>
            </w:r>
            <w:r w:rsidR="00BD4B23" w:rsidRPr="00BD4B23">
              <w:t>n</w:t>
            </w:r>
            <w:r w:rsidR="00BD4B23" w:rsidRPr="00BD4B23">
              <w:t>de, så vil afvigelsen mellem de i lovforslaget anførte prov</w:t>
            </w:r>
            <w:r w:rsidR="00BD4B23" w:rsidRPr="00BD4B23">
              <w:t>e</w:t>
            </w:r>
            <w:r w:rsidR="00BD4B23" w:rsidRPr="00BD4B23">
              <w:t>numæssige konsekvenser og de faktiske konsekvenser være en</w:t>
            </w:r>
            <w:r w:rsidR="00BD4B23" w:rsidRPr="00BD4B23">
              <w:t>d</w:t>
            </w:r>
            <w:r w:rsidR="00BD4B23" w:rsidRPr="00BD4B23">
              <w:t xml:space="preserve">nu større, end opgørelsen viser før adfærd og tilbageløb. </w:t>
            </w:r>
          </w:p>
          <w:p w:rsidR="00950375" w:rsidRPr="00BD4B23" w:rsidRDefault="00950375" w:rsidP="00BD4B23">
            <w:pPr>
              <w:pStyle w:val="Tabel-BrdtekstmedafstandptekstGaramond"/>
            </w:pPr>
          </w:p>
          <w:p w:rsidR="00BD4B23" w:rsidRDefault="00BD4B23" w:rsidP="00BD4B23">
            <w:pPr>
              <w:pStyle w:val="Tabel-BrdtekstmedafstandptekstGaramond"/>
            </w:pPr>
            <w:r w:rsidRPr="00BD4B23">
              <w:t>D</w:t>
            </w:r>
            <w:r w:rsidR="003E1CA1">
              <w:t>eloitte m.fl. anfører, at der d</w:t>
            </w:r>
            <w:r w:rsidRPr="00BD4B23">
              <w:t>e</w:t>
            </w:r>
            <w:r w:rsidRPr="00BD4B23">
              <w:t>r</w:t>
            </w:r>
            <w:r w:rsidRPr="00BD4B23">
              <w:t xml:space="preserve">udover </w:t>
            </w:r>
            <w:r w:rsidR="003E1CA1">
              <w:t xml:space="preserve">også </w:t>
            </w:r>
            <w:r w:rsidRPr="00BD4B23">
              <w:t>mangler en analyse af konsekvenserne af lovforslaget for de almennyttige formål, der i dag tilgodeses ved uddelingerne.</w:t>
            </w:r>
          </w:p>
          <w:p w:rsidR="00950375" w:rsidRDefault="00950375" w:rsidP="00BD4B23">
            <w:pPr>
              <w:pStyle w:val="Tabel-BrdtekstmedafstandptekstGaramond"/>
            </w:pPr>
          </w:p>
          <w:p w:rsidR="00DD2ADD" w:rsidRDefault="003E1CA1" w:rsidP="003E1CA1">
            <w:pPr>
              <w:pStyle w:val="Tabel-BrdtekstmedafstandptekstGaramond"/>
            </w:pPr>
            <w:r>
              <w:t>Deloitte m.fl. anfører, at h</w:t>
            </w:r>
            <w:r w:rsidR="00950375" w:rsidRPr="00950375">
              <w:t>vis fondene skal bevare deres muli</w:t>
            </w:r>
            <w:r w:rsidR="00950375" w:rsidRPr="00950375">
              <w:t>g</w:t>
            </w:r>
            <w:r w:rsidR="00950375" w:rsidRPr="00950375">
              <w:t xml:space="preserve">hed for konsolidering for også på langt sigt at kunne opfylde deres almennyttige uddelingsformål, må en væsentlig øget beskatning alt andet lige betyde en reduktion af de kommende års uddelinger. </w:t>
            </w:r>
            <w:r w:rsidR="00950375" w:rsidRPr="00950375">
              <w:lastRenderedPageBreak/>
              <w:t>En reduktion, der vil betyde fæ</w:t>
            </w:r>
            <w:r w:rsidR="00950375" w:rsidRPr="00950375">
              <w:t>r</w:t>
            </w:r>
            <w:r w:rsidR="00950375" w:rsidRPr="00950375">
              <w:t xml:space="preserve">re penge uddelt </w:t>
            </w:r>
            <w:r w:rsidR="00950375">
              <w:t>til de formål, fondene skal til</w:t>
            </w:r>
            <w:r w:rsidR="00950375" w:rsidRPr="00950375">
              <w:t>godese. Af ove</w:t>
            </w:r>
            <w:r w:rsidR="00950375" w:rsidRPr="00950375">
              <w:t>n</w:t>
            </w:r>
            <w:r w:rsidR="00950375" w:rsidRPr="00950375">
              <w:t xml:space="preserve">nævnte beregning fremgår, at skattebyrden </w:t>
            </w:r>
            <w:r w:rsidR="00950375">
              <w:t>vil være</w:t>
            </w:r>
            <w:r w:rsidR="00950375" w:rsidRPr="00950375">
              <w:t xml:space="preserve"> mindst 1 mia. kr. højere pr. år</w:t>
            </w:r>
            <w:r w:rsidR="00950375">
              <w:t>, hvis de f</w:t>
            </w:r>
            <w:r w:rsidR="00950375">
              <w:t>o</w:t>
            </w:r>
            <w:r w:rsidR="00950375">
              <w:t>reslåede ændringer vedtages, hvilket selvsagt vil føre til en r</w:t>
            </w:r>
            <w:r w:rsidR="00950375">
              <w:t>e</w:t>
            </w:r>
            <w:r w:rsidR="00950375">
              <w:t xml:space="preserve">duktion af </w:t>
            </w:r>
            <w:r w:rsidR="00950375" w:rsidRPr="00950375">
              <w:t>uddelingerne</w:t>
            </w:r>
            <w:r w:rsidR="00950375">
              <w:t>.</w:t>
            </w:r>
            <w:r w:rsidR="00950375" w:rsidRPr="00950375">
              <w:t xml:space="preserve"> </w:t>
            </w:r>
          </w:p>
        </w:tc>
        <w:tc>
          <w:tcPr>
            <w:tcW w:w="209" w:type="dxa"/>
            <w:shd w:val="clear" w:color="auto" w:fill="FFFFFF" w:themeFill="background1"/>
          </w:tcPr>
          <w:p w:rsidR="008110A6" w:rsidRPr="00B5346F" w:rsidRDefault="008110A6" w:rsidP="00122C71"/>
        </w:tc>
        <w:tc>
          <w:tcPr>
            <w:tcW w:w="3259" w:type="dxa"/>
            <w:tcBorders>
              <w:top w:val="single" w:sz="4" w:space="0" w:color="14143C" w:themeColor="accent1"/>
              <w:bottom w:val="single" w:sz="4" w:space="0" w:color="14143C" w:themeColor="accent1"/>
            </w:tcBorders>
            <w:shd w:val="clear" w:color="auto" w:fill="D2CED8"/>
          </w:tcPr>
          <w:p w:rsidR="00CE05CC" w:rsidRDefault="00E117A9" w:rsidP="00CE05CC">
            <w:pPr>
              <w:pStyle w:val="Tabel-BrdtekstmedafstandptekstGaramond"/>
            </w:pPr>
            <w:r>
              <w:t>Det anføres, at</w:t>
            </w:r>
            <w:r w:rsidR="00CE05CC">
              <w:t xml:space="preserve"> provenuvurd</w:t>
            </w:r>
            <w:r w:rsidR="00CE05CC">
              <w:t>e</w:t>
            </w:r>
            <w:r w:rsidR="00CE05CC">
              <w:t>ringen i lovforslaget kraftigt u</w:t>
            </w:r>
            <w:r w:rsidR="00CE05CC">
              <w:t>n</w:t>
            </w:r>
            <w:r w:rsidR="00CE05CC">
              <w:t>dervurderer de provenumæssige konsekvense</w:t>
            </w:r>
            <w:r w:rsidR="00F548F5">
              <w:t>r ved en op</w:t>
            </w:r>
            <w:r w:rsidR="00B03165">
              <w:t>hævelse</w:t>
            </w:r>
            <w:r w:rsidR="00F548F5">
              <w:t xml:space="preserve"> af de to særregler. </w:t>
            </w:r>
            <w:r w:rsidR="00CE05CC">
              <w:t xml:space="preserve">På baggrund af denne og </w:t>
            </w:r>
            <w:r w:rsidR="00B03165">
              <w:t xml:space="preserve">en </w:t>
            </w:r>
            <w:r w:rsidR="00F548F5">
              <w:t>tilsvarende</w:t>
            </w:r>
            <w:r w:rsidR="00CE05CC">
              <w:t xml:space="preserve"> kritik fra andre </w:t>
            </w:r>
            <w:r w:rsidR="00F548F5">
              <w:t>høringsparter har S</w:t>
            </w:r>
            <w:r w:rsidR="00CE05CC">
              <w:t>ka</w:t>
            </w:r>
            <w:r w:rsidR="00CE05CC">
              <w:t>t</w:t>
            </w:r>
            <w:r w:rsidR="00CE05CC">
              <w:t>teministeriet gennemgået prov</w:t>
            </w:r>
            <w:r w:rsidR="00CE05CC">
              <w:t>e</w:t>
            </w:r>
            <w:r w:rsidR="00CE05CC">
              <w:t>nuvurderingen og bl.a. indhentet nye oplysninger fra SKAT.</w:t>
            </w:r>
          </w:p>
          <w:p w:rsidR="00CE05CC" w:rsidRDefault="00CE05CC" w:rsidP="00CE05CC">
            <w:pPr>
              <w:pStyle w:val="Tabel-BrdtekstmedafstandptekstGaramond"/>
            </w:pPr>
          </w:p>
          <w:p w:rsidR="00CE05CC" w:rsidRDefault="00CE05CC" w:rsidP="00CE05CC">
            <w:pPr>
              <w:pStyle w:val="Tabel-BrdtekstmedafstandptekstGaramond"/>
            </w:pPr>
            <w:r w:rsidRPr="00A05C8C">
              <w:t xml:space="preserve">Provenuvirkningen af at fjerne overførselsreglen er baseret på en fremskrivning af en analyse fra 2009. Efterfølgende har nye oplysninger fra SKAT vist, at anvendelsen af reglen </w:t>
            </w:r>
            <w:r w:rsidR="0096444F">
              <w:t>– målt på de overførte og fra</w:t>
            </w:r>
            <w:r w:rsidR="005D2FDB">
              <w:t>trukne</w:t>
            </w:r>
            <w:r w:rsidR="0096444F">
              <w:t xml:space="preserve"> beløb – </w:t>
            </w:r>
            <w:r w:rsidRPr="00A05C8C">
              <w:t>er næsten tidoblet på ot</w:t>
            </w:r>
            <w:r w:rsidR="0096444F">
              <w:t xml:space="preserve">te år, </w:t>
            </w:r>
            <w:r w:rsidRPr="00A05C8C">
              <w:t xml:space="preserve">fra ca. 850 mio. kr. i 2007 til ca. 7 mia. kr. i 2014. Den kraftige stigning i anvendelsen har ikke været </w:t>
            </w:r>
            <w:r w:rsidR="00172241">
              <w:t>forudset</w:t>
            </w:r>
            <w:r w:rsidRPr="00A05C8C">
              <w:t>.</w:t>
            </w:r>
          </w:p>
          <w:p w:rsidR="00CE05CC" w:rsidRDefault="00CE05CC" w:rsidP="00CE05CC">
            <w:pPr>
              <w:pStyle w:val="Tabel-BrdtekstmedafstandptekstGaramond"/>
            </w:pPr>
          </w:p>
          <w:p w:rsidR="00CE05CC" w:rsidRDefault="00CE05CC" w:rsidP="00CE05CC">
            <w:pPr>
              <w:pStyle w:val="Tabel-BrdtekstmedafstandptekstGaramond"/>
            </w:pPr>
            <w:r w:rsidRPr="00A05C8C">
              <w:t>Den kraftige vækst i anvende</w:t>
            </w:r>
            <w:r w:rsidRPr="00A05C8C">
              <w:t>l</w:t>
            </w:r>
            <w:r w:rsidRPr="00A05C8C">
              <w:t xml:space="preserve">sen af overførselsreglen betyder, at finansieringsbidraget fra </w:t>
            </w:r>
            <w:r w:rsidR="00EC7D29">
              <w:t>en ophævelse</w:t>
            </w:r>
            <w:r w:rsidRPr="00A05C8C">
              <w:t xml:space="preserve"> af reglen </w:t>
            </w:r>
            <w:r w:rsidR="00EB02D8">
              <w:t>vil</w:t>
            </w:r>
            <w:r w:rsidR="00EB02D8" w:rsidRPr="00A05C8C">
              <w:t xml:space="preserve"> </w:t>
            </w:r>
            <w:r w:rsidRPr="00A05C8C">
              <w:t xml:space="preserve">være </w:t>
            </w:r>
            <w:r w:rsidR="00A30F4B">
              <w:t>v</w:t>
            </w:r>
            <w:r w:rsidR="00A30F4B">
              <w:t>æ</w:t>
            </w:r>
            <w:r w:rsidR="00A30F4B">
              <w:t>sentligt</w:t>
            </w:r>
            <w:r w:rsidRPr="00A05C8C">
              <w:t xml:space="preserve"> større end de </w:t>
            </w:r>
            <w:r w:rsidR="00EB02D8">
              <w:t>150</w:t>
            </w:r>
            <w:r w:rsidR="00EB02D8" w:rsidRPr="00A05C8C">
              <w:t xml:space="preserve"> </w:t>
            </w:r>
            <w:r w:rsidRPr="00A05C8C">
              <w:t xml:space="preserve">mio. kr. årligt </w:t>
            </w:r>
            <w:r w:rsidR="00EB02D8">
              <w:t>i umiddelbart merpr</w:t>
            </w:r>
            <w:r w:rsidR="00EB02D8">
              <w:t>o</w:t>
            </w:r>
            <w:r w:rsidR="00EB02D8">
              <w:t>venu</w:t>
            </w:r>
            <w:r w:rsidRPr="00A05C8C">
              <w:t>, der er lagt til grund ved indgåelsen af finanslovsaftalen.</w:t>
            </w:r>
          </w:p>
          <w:p w:rsidR="00CE05CC" w:rsidRDefault="00CE05CC" w:rsidP="00CE05CC">
            <w:pPr>
              <w:pStyle w:val="Tabel-BrdtekstmedafstandptekstGaramond"/>
            </w:pPr>
          </w:p>
          <w:p w:rsidR="00B715CA" w:rsidRDefault="00CE05CC" w:rsidP="00B715CA">
            <w:pPr>
              <w:pStyle w:val="Tabel-BrdtekstmedafstandptekstGaramond"/>
            </w:pPr>
            <w:r w:rsidRPr="00147232">
              <w:t xml:space="preserve">På denne baggrund </w:t>
            </w:r>
            <w:r w:rsidR="00A816C9">
              <w:t xml:space="preserve">vil </w:t>
            </w:r>
            <w:r w:rsidR="001C4C7A">
              <w:t>regeri</w:t>
            </w:r>
            <w:r w:rsidR="001C4C7A">
              <w:t>n</w:t>
            </w:r>
            <w:r w:rsidR="001C4C7A">
              <w:t xml:space="preserve">gen </w:t>
            </w:r>
            <w:r w:rsidR="00A816C9">
              <w:t>t</w:t>
            </w:r>
            <w:r w:rsidR="00B715CA">
              <w:t>il 2. behandlingen af lo</w:t>
            </w:r>
            <w:r w:rsidR="00B715CA">
              <w:t>v</w:t>
            </w:r>
            <w:r w:rsidR="00B715CA">
              <w:t>forslaget stille</w:t>
            </w:r>
            <w:r w:rsidR="00A816C9">
              <w:t xml:space="preserve"> et</w:t>
            </w:r>
            <w:r w:rsidR="00B715CA">
              <w:t xml:space="preserve"> ændringsforslag </w:t>
            </w:r>
            <w:r w:rsidR="00B715CA" w:rsidRPr="001465F2">
              <w:t>om, at den foreslåede ophævelse af overførselsreglen ud</w:t>
            </w:r>
            <w:r w:rsidR="007D031A">
              <w:t xml:space="preserve">går af </w:t>
            </w:r>
            <w:r w:rsidR="00B715CA" w:rsidRPr="001465F2">
              <w:t>forslaget</w:t>
            </w:r>
            <w:r w:rsidR="00B715CA">
              <w:t xml:space="preserve">. </w:t>
            </w:r>
          </w:p>
          <w:p w:rsidR="00CE05CC" w:rsidRDefault="00CE05CC" w:rsidP="00CE05CC">
            <w:pPr>
              <w:pStyle w:val="Tabel-BrdtekstmedafstandptekstGaramond"/>
            </w:pPr>
          </w:p>
          <w:p w:rsidR="00CE05CC" w:rsidRDefault="00CE05CC" w:rsidP="00CE05CC">
            <w:pPr>
              <w:pStyle w:val="Tabel-BrdtekstmedafstandptekstGaramond"/>
            </w:pPr>
            <w:r w:rsidRPr="00DB21F6">
              <w:t>I forhold til ophævelsen af ko</w:t>
            </w:r>
            <w:r w:rsidRPr="00DB21F6">
              <w:t>n</w:t>
            </w:r>
            <w:r w:rsidRPr="00DB21F6">
              <w:t xml:space="preserve">solideringsfradraget </w:t>
            </w:r>
            <w:r w:rsidR="00414B10">
              <w:t>er det i fo</w:t>
            </w:r>
            <w:r w:rsidR="00414B10">
              <w:t>r</w:t>
            </w:r>
            <w:r w:rsidR="00414B10">
              <w:t xml:space="preserve">bindelse med udarbejdelsen af lovforslaget vurderet, </w:t>
            </w:r>
            <w:r w:rsidR="00B300AB">
              <w:t xml:space="preserve">at </w:t>
            </w:r>
            <w:r w:rsidR="00501EE5">
              <w:t xml:space="preserve">det umiddelbare </w:t>
            </w:r>
            <w:r w:rsidR="00D03300">
              <w:t xml:space="preserve">merprovenu </w:t>
            </w:r>
            <w:r w:rsidR="00B300AB">
              <w:t>vil</w:t>
            </w:r>
            <w:r w:rsidR="00D03300">
              <w:t xml:space="preserve"> v</w:t>
            </w:r>
            <w:r w:rsidR="00D03300">
              <w:t>æ</w:t>
            </w:r>
            <w:r w:rsidR="00D03300">
              <w:t>re</w:t>
            </w:r>
            <w:r w:rsidRPr="00DB21F6">
              <w:t xml:space="preserve"> </w:t>
            </w:r>
            <w:r w:rsidR="008710FD">
              <w:t>i størrelsesordenen</w:t>
            </w:r>
            <w:r w:rsidR="000D6548">
              <w:t xml:space="preserve"> </w:t>
            </w:r>
            <w:r w:rsidRPr="00DB21F6">
              <w:t>100 mio. kr. årligt set over en årrække</w:t>
            </w:r>
            <w:r w:rsidR="00180E89">
              <w:t>.</w:t>
            </w:r>
            <w:r w:rsidRPr="00DB21F6">
              <w:t xml:space="preserve"> </w:t>
            </w:r>
          </w:p>
          <w:p w:rsidR="00CE05CC" w:rsidRDefault="00CE05CC" w:rsidP="00CE05CC">
            <w:pPr>
              <w:pStyle w:val="Tabel-BrdtekstmedafstandptekstGaramond"/>
            </w:pPr>
          </w:p>
          <w:p w:rsidR="00CE05CC" w:rsidRDefault="00CE05CC" w:rsidP="00CE05CC">
            <w:pPr>
              <w:pStyle w:val="Tabel-BrdtekstmedafstandptekstGaramond"/>
            </w:pPr>
            <w:r>
              <w:t>Skatteministeriets vurdering er baseret på fondenes skatteoply</w:t>
            </w:r>
            <w:r>
              <w:t>s</w:t>
            </w:r>
            <w:r>
              <w:t xml:space="preserve">ninger for en længere årrække. </w:t>
            </w:r>
          </w:p>
          <w:p w:rsidR="00F35F4E" w:rsidRDefault="00F35F4E" w:rsidP="00CE05CC">
            <w:pPr>
              <w:pStyle w:val="Tabel-BrdtekstmedafstandptekstGaramond"/>
            </w:pPr>
            <w:r w:rsidRPr="00F35F4E">
              <w:t>Provenuvurderingen er forbu</w:t>
            </w:r>
            <w:r w:rsidRPr="00F35F4E">
              <w:t>n</w:t>
            </w:r>
            <w:r w:rsidRPr="00F35F4E">
              <w:t>det med stor usikkerhed, og merprovenuet kan derfor godt vise sig at være betydeligt højere i enkelte år.</w:t>
            </w:r>
            <w:r w:rsidR="0091386D">
              <w:t xml:space="preserve"> Frem mod 3. b</w:t>
            </w:r>
            <w:r w:rsidR="0091386D">
              <w:t>e</w:t>
            </w:r>
            <w:r w:rsidR="0091386D">
              <w:t>handlingen af forslaget vil Ska</w:t>
            </w:r>
            <w:r w:rsidR="0091386D">
              <w:t>t</w:t>
            </w:r>
            <w:r w:rsidR="0091386D">
              <w:t>teministeriet konsolidere prov</w:t>
            </w:r>
            <w:r w:rsidR="0091386D">
              <w:t>e</w:t>
            </w:r>
            <w:r w:rsidR="0091386D">
              <w:t>nuberegningen.</w:t>
            </w:r>
          </w:p>
          <w:p w:rsidR="00CE05CC" w:rsidRDefault="00CE05CC" w:rsidP="00CE05CC">
            <w:pPr>
              <w:pStyle w:val="Tabel-BrdtekstmedafstandptekstGaramond"/>
            </w:pPr>
          </w:p>
          <w:p w:rsidR="008110A6" w:rsidRDefault="00EC7D29">
            <w:pPr>
              <w:pStyle w:val="Tabel-BrdtekstmedafstandptekstGaramond"/>
            </w:pPr>
            <w:r>
              <w:t>Det</w:t>
            </w:r>
            <w:r w:rsidR="00CE05CC">
              <w:t xml:space="preserve"> bemærkes </w:t>
            </w:r>
            <w:r>
              <w:t>afslutningsvist</w:t>
            </w:r>
            <w:r w:rsidR="00CE05CC">
              <w:t>, at en fond for at kunne udnytte konsolideringsfradraget fuldt ud skal have</w:t>
            </w:r>
            <w:r w:rsidR="00CE05CC" w:rsidRPr="009F4D80">
              <w:t xml:space="preserve"> en skattepligtig in</w:t>
            </w:r>
            <w:r w:rsidR="00CE05CC" w:rsidRPr="009F4D80">
              <w:t>d</w:t>
            </w:r>
            <w:r w:rsidR="00CE05CC" w:rsidRPr="009F4D80">
              <w:t>komst, der overstiger fradraget. Dette er langt fra altid tilfældet, bl.a. fordi henved 50 pct. af fo</w:t>
            </w:r>
            <w:r w:rsidR="00CE05CC" w:rsidRPr="009F4D80">
              <w:t>n</w:t>
            </w:r>
            <w:r w:rsidR="00CE05CC" w:rsidRPr="009F4D80">
              <w:t xml:space="preserve">denes </w:t>
            </w:r>
            <w:r w:rsidR="00CE05CC">
              <w:t xml:space="preserve">gennemsnitlige </w:t>
            </w:r>
            <w:r w:rsidR="00CE05CC" w:rsidRPr="009F4D80">
              <w:t>indtægter består af skattefrie datterse</w:t>
            </w:r>
            <w:r w:rsidR="00CE05CC" w:rsidRPr="009F4D80">
              <w:t>l</w:t>
            </w:r>
            <w:r w:rsidR="00CE05CC" w:rsidRPr="009F4D80">
              <w:t>skabsudbytter. Dertil kommer, at mange af fondene har udd</w:t>
            </w:r>
            <w:r w:rsidR="00CE05CC" w:rsidRPr="009F4D80">
              <w:t>e</w:t>
            </w:r>
            <w:r w:rsidR="00CE05CC" w:rsidRPr="009F4D80">
              <w:t>linger, der svarer til deres saml</w:t>
            </w:r>
            <w:r w:rsidR="00CE05CC" w:rsidRPr="009F4D80">
              <w:t>e</w:t>
            </w:r>
            <w:r w:rsidR="00CE05CC" w:rsidRPr="009F4D80">
              <w:t>de indtægter</w:t>
            </w:r>
            <w:r w:rsidR="003E1CA1">
              <w:t>,</w:t>
            </w:r>
            <w:r w:rsidR="00CE05CC" w:rsidRPr="009F4D80">
              <w:t xml:space="preserve"> og derfor ikke har behov for det ekstra konsolid</w:t>
            </w:r>
            <w:r w:rsidR="00CE05CC" w:rsidRPr="009F4D80">
              <w:t>e</w:t>
            </w:r>
            <w:r w:rsidR="00CE05CC" w:rsidRPr="009F4D80">
              <w:t>ringsfradrag.</w:t>
            </w:r>
            <w:r w:rsidR="00CE05CC">
              <w:t xml:space="preserve"> Hvis man alene t</w:t>
            </w:r>
            <w:r w:rsidR="00CE05CC">
              <w:t>a</w:t>
            </w:r>
            <w:r w:rsidR="00CE05CC">
              <w:t>ger skatteværdien af uddelinge</w:t>
            </w:r>
            <w:r w:rsidR="00CE05CC">
              <w:t>r</w:t>
            </w:r>
            <w:r w:rsidR="00CE05CC">
              <w:t xml:space="preserve">ne, vil </w:t>
            </w:r>
            <w:r w:rsidR="009F523D">
              <w:t>man således kraftigt ove</w:t>
            </w:r>
            <w:r w:rsidR="009F523D">
              <w:t>r</w:t>
            </w:r>
            <w:r w:rsidR="009F523D">
              <w:t>vurdere</w:t>
            </w:r>
            <w:r w:rsidR="00CE05CC">
              <w:t xml:space="preserve"> effekten ved en oph</w:t>
            </w:r>
            <w:r w:rsidR="00CE05CC">
              <w:t>æ</w:t>
            </w:r>
            <w:r w:rsidR="00CE05CC">
              <w:t>velse af fradraget</w:t>
            </w:r>
            <w:r w:rsidR="00FC4581">
              <w:t>.</w:t>
            </w:r>
          </w:p>
          <w:p w:rsidR="009738E0" w:rsidRDefault="009738E0">
            <w:pPr>
              <w:pStyle w:val="Tabel-BrdtekstmedafstandptekstGaramond"/>
            </w:pPr>
          </w:p>
          <w:p w:rsidR="009738E0" w:rsidRPr="00B5346F" w:rsidRDefault="009738E0">
            <w:pPr>
              <w:pStyle w:val="Tabel-BrdtekstmedafstandptekstGaramond"/>
            </w:pPr>
          </w:p>
        </w:tc>
      </w:tr>
      <w:tr w:rsidR="0021491E" w:rsidRPr="00B5346F" w:rsidTr="00C87589">
        <w:tc>
          <w:tcPr>
            <w:tcW w:w="2653" w:type="dxa"/>
            <w:tcBorders>
              <w:top w:val="single" w:sz="4" w:space="0" w:color="D1C5C3" w:themeColor="accent3"/>
              <w:bottom w:val="single" w:sz="4" w:space="0" w:color="D1C5C3" w:themeColor="accent3"/>
            </w:tcBorders>
            <w:shd w:val="clear" w:color="auto" w:fill="FBF9F9"/>
          </w:tcPr>
          <w:p w:rsidR="0021491E" w:rsidRPr="0021491E" w:rsidRDefault="0021491E" w:rsidP="0021491E">
            <w:pPr>
              <w:pStyle w:val="Tabel-BrdtekstmedafstandptekstGaramond"/>
              <w:rPr>
                <w:i/>
              </w:rPr>
            </w:pPr>
            <w:r w:rsidRPr="0021491E">
              <w:rPr>
                <w:i/>
              </w:rPr>
              <w:lastRenderedPageBreak/>
              <w:t>Det Kongelige Teater, Louis</w:t>
            </w:r>
            <w:r w:rsidRPr="0021491E">
              <w:rPr>
                <w:i/>
              </w:rPr>
              <w:t>i</w:t>
            </w:r>
            <w:r w:rsidRPr="0021491E">
              <w:rPr>
                <w:i/>
              </w:rPr>
              <w:t>ana, Den Gamle By, Statens Museum for Kunst, Moe</w:t>
            </w:r>
            <w:r w:rsidRPr="0021491E">
              <w:rPr>
                <w:i/>
              </w:rPr>
              <w:t>s</w:t>
            </w:r>
            <w:r w:rsidRPr="0021491E">
              <w:rPr>
                <w:i/>
              </w:rPr>
              <w:t>gaard Museum, Det Kongel</w:t>
            </w:r>
            <w:r w:rsidRPr="0021491E">
              <w:rPr>
                <w:i/>
              </w:rPr>
              <w:t>i</w:t>
            </w:r>
            <w:r w:rsidRPr="0021491E">
              <w:rPr>
                <w:i/>
              </w:rPr>
              <w:t>ge Bibliotek, Statsbiblioteket, Aarhus Teater og Rigsarkivet</w:t>
            </w:r>
          </w:p>
          <w:p w:rsidR="0021491E" w:rsidRDefault="0021491E" w:rsidP="00C0001A">
            <w:pPr>
              <w:pStyle w:val="Tabel-BrdtekstmedafstandptekstGaramond"/>
              <w:rPr>
                <w:i/>
              </w:rPr>
            </w:pPr>
          </w:p>
        </w:tc>
        <w:tc>
          <w:tcPr>
            <w:tcW w:w="194" w:type="dxa"/>
            <w:shd w:val="clear" w:color="auto" w:fill="FFFFFF" w:themeFill="background1"/>
          </w:tcPr>
          <w:p w:rsidR="0021491E" w:rsidRPr="00B5346F" w:rsidRDefault="0021491E" w:rsidP="00122C71"/>
        </w:tc>
        <w:tc>
          <w:tcPr>
            <w:tcW w:w="3324" w:type="dxa"/>
            <w:tcBorders>
              <w:top w:val="single" w:sz="4" w:space="0" w:color="D1C5C3" w:themeColor="accent3"/>
              <w:bottom w:val="single" w:sz="4" w:space="0" w:color="D1C5C3" w:themeColor="accent3"/>
            </w:tcBorders>
            <w:shd w:val="clear" w:color="auto" w:fill="FBF9F9"/>
          </w:tcPr>
          <w:p w:rsidR="0069734D" w:rsidRDefault="0069734D" w:rsidP="002C475A">
            <w:pPr>
              <w:pStyle w:val="Tabel-BrdtekstmedafstandptekstGaramond"/>
            </w:pPr>
            <w:r>
              <w:t>I en fælles høringsskrivelse appe</w:t>
            </w:r>
            <w:r>
              <w:t>l</w:t>
            </w:r>
            <w:r>
              <w:t>lerer de</w:t>
            </w:r>
            <w:r w:rsidR="0021491E">
              <w:t xml:space="preserve"> pågældende</w:t>
            </w:r>
            <w:r w:rsidR="0021491E" w:rsidRPr="0021491E">
              <w:t xml:space="preserve"> kunst-, ku</w:t>
            </w:r>
            <w:r w:rsidR="0021491E" w:rsidRPr="0021491E">
              <w:t>l</w:t>
            </w:r>
            <w:r w:rsidR="0021491E" w:rsidRPr="0021491E">
              <w:t xml:space="preserve">tur- og forskningsinstitutioner </w:t>
            </w:r>
            <w:r w:rsidR="0021491E">
              <w:t>på</w:t>
            </w:r>
            <w:r w:rsidR="0021491E" w:rsidRPr="0021491E">
              <w:t xml:space="preserve"> det kraftigste til, at de</w:t>
            </w:r>
            <w:r>
              <w:t xml:space="preserve"> foreslåede ændringer ikke </w:t>
            </w:r>
            <w:r w:rsidR="0021491E" w:rsidRPr="0021491E">
              <w:t>gennemføres</w:t>
            </w:r>
            <w:r>
              <w:t>.</w:t>
            </w:r>
            <w:r w:rsidR="0021491E" w:rsidRPr="0021491E">
              <w:t xml:space="preserve"> </w:t>
            </w:r>
            <w:r w:rsidR="000C589D">
              <w:t>Det anføres, at l</w:t>
            </w:r>
            <w:r>
              <w:t>ovforslaget</w:t>
            </w:r>
            <w:r w:rsidR="0021491E" w:rsidRPr="0021491E">
              <w:t xml:space="preserve"> vil </w:t>
            </w:r>
            <w:r w:rsidR="009874B7">
              <w:t xml:space="preserve">få </w:t>
            </w:r>
            <w:r w:rsidR="0021491E" w:rsidRPr="0021491E">
              <w:t>f</w:t>
            </w:r>
            <w:r w:rsidR="0021491E" w:rsidRPr="0021491E">
              <w:t>a</w:t>
            </w:r>
            <w:r w:rsidR="0021491E" w:rsidRPr="0021491E">
              <w:t>tale konsekvenser for modtage</w:t>
            </w:r>
            <w:r w:rsidR="0021491E" w:rsidRPr="0021491E">
              <w:t>r</w:t>
            </w:r>
            <w:r w:rsidR="000C589D">
              <w:t>n</w:t>
            </w:r>
            <w:r w:rsidR="0021491E" w:rsidRPr="0021491E">
              <w:t>e af fondenes almennyttige u</w:t>
            </w:r>
            <w:r w:rsidR="0021491E" w:rsidRPr="0021491E">
              <w:t>d</w:t>
            </w:r>
            <w:r w:rsidR="0021491E" w:rsidRPr="0021491E">
              <w:t>delinger</w:t>
            </w:r>
            <w:r w:rsidR="009874B7">
              <w:t>, herunder for dansk ku</w:t>
            </w:r>
            <w:r w:rsidR="009874B7">
              <w:t>l</w:t>
            </w:r>
            <w:r w:rsidR="009874B7">
              <w:t>turliv.</w:t>
            </w:r>
          </w:p>
          <w:p w:rsidR="0069734D" w:rsidRPr="0069734D" w:rsidRDefault="0069734D" w:rsidP="0069734D">
            <w:pPr>
              <w:pStyle w:val="Tabel-BrdtekstmedafstandptekstGaramond"/>
            </w:pPr>
          </w:p>
          <w:p w:rsidR="0069734D" w:rsidRDefault="002514F3" w:rsidP="0069734D">
            <w:pPr>
              <w:pStyle w:val="Tabel-BrdtekstmedafstandptekstGaramond"/>
            </w:pPr>
            <w:r>
              <w:t>Det anføres</w:t>
            </w:r>
            <w:r w:rsidR="00274549">
              <w:t xml:space="preserve"> desuden</w:t>
            </w:r>
            <w:r>
              <w:t xml:space="preserve">, at </w:t>
            </w:r>
            <w:r w:rsidRPr="0069734D">
              <w:t xml:space="preserve">kultur- og forskningsinstitutionerne </w:t>
            </w:r>
            <w:r w:rsidR="009874B7">
              <w:t>bl</w:t>
            </w:r>
            <w:r w:rsidR="009874B7">
              <w:t>i</w:t>
            </w:r>
            <w:r w:rsidR="009874B7">
              <w:t xml:space="preserve">ver </w:t>
            </w:r>
            <w:r w:rsidRPr="0069734D">
              <w:t>dobbelt</w:t>
            </w:r>
            <w:r w:rsidR="009874B7">
              <w:t xml:space="preserve"> ramt</w:t>
            </w:r>
            <w:r>
              <w:t>, når</w:t>
            </w:r>
            <w:r w:rsidRPr="0069734D">
              <w:t xml:space="preserve"> </w:t>
            </w:r>
            <w:r w:rsidR="0069734D" w:rsidRPr="0069734D">
              <w:t>regeringen både skærer i kulturbudgetterne og samtidig gør det mindre a</w:t>
            </w:r>
            <w:r w:rsidR="0069734D" w:rsidRPr="0069734D">
              <w:t>t</w:t>
            </w:r>
            <w:r w:rsidR="0069734D" w:rsidRPr="0069734D">
              <w:t xml:space="preserve">traktivt for almennyttige fonde at bidrage. </w:t>
            </w:r>
          </w:p>
          <w:p w:rsidR="000C589D" w:rsidRPr="000C589D" w:rsidRDefault="000C589D" w:rsidP="000C589D">
            <w:pPr>
              <w:pStyle w:val="Tabel-BrdtekstmedafstandptekstGaramond"/>
            </w:pPr>
          </w:p>
          <w:p w:rsidR="00C76ABB" w:rsidRDefault="00913FB6" w:rsidP="00913FB6">
            <w:pPr>
              <w:pStyle w:val="Tabel-BrdtekstmedafstandptekstGaramond"/>
            </w:pPr>
            <w:r>
              <w:t xml:space="preserve">Det kritiseres, at lovforslaget </w:t>
            </w:r>
            <w:r w:rsidR="000C589D" w:rsidRPr="000C589D">
              <w:t>ikke forhold</w:t>
            </w:r>
            <w:r>
              <w:t>er</w:t>
            </w:r>
            <w:r w:rsidR="000C589D" w:rsidRPr="000C589D">
              <w:t xml:space="preserve"> sig til, hvilke kons</w:t>
            </w:r>
            <w:r w:rsidR="000C589D" w:rsidRPr="000C589D">
              <w:t>e</w:t>
            </w:r>
            <w:r w:rsidR="000C589D" w:rsidRPr="000C589D">
              <w:t>kvenser det vil have for de a</w:t>
            </w:r>
            <w:r w:rsidR="000C589D" w:rsidRPr="000C589D">
              <w:t>l</w:t>
            </w:r>
            <w:r w:rsidR="000C589D" w:rsidRPr="000C589D">
              <w:t>mennyttige, sociale og kulturelle organisationer og de forskning</w:t>
            </w:r>
            <w:r w:rsidR="000C589D" w:rsidRPr="000C589D">
              <w:t>s</w:t>
            </w:r>
            <w:r w:rsidR="000C589D" w:rsidRPr="000C589D">
              <w:t xml:space="preserve">institutioner, der er modtagere af fondenes uddelinger. </w:t>
            </w:r>
            <w:r w:rsidR="000C589D">
              <w:t>Der</w:t>
            </w:r>
            <w:r w:rsidR="000C589D" w:rsidRPr="000C589D">
              <w:t xml:space="preserve"> appe</w:t>
            </w:r>
            <w:r w:rsidR="000C589D" w:rsidRPr="000C589D">
              <w:t>l</w:t>
            </w:r>
            <w:r w:rsidR="000C589D" w:rsidRPr="000C589D">
              <w:t>lere</w:t>
            </w:r>
            <w:r w:rsidR="000C589D">
              <w:t>s derfor</w:t>
            </w:r>
            <w:r w:rsidR="000C589D" w:rsidRPr="000C589D">
              <w:t xml:space="preserve"> til, at </w:t>
            </w:r>
            <w:r>
              <w:t xml:space="preserve">behandlingen af </w:t>
            </w:r>
            <w:r w:rsidR="000C589D" w:rsidRPr="000C589D">
              <w:t xml:space="preserve">lovforslaget udsættes, så </w:t>
            </w:r>
            <w:r w:rsidR="000C589D">
              <w:t>modt</w:t>
            </w:r>
            <w:r w:rsidR="000C589D">
              <w:t>a</w:t>
            </w:r>
            <w:r w:rsidR="000C589D">
              <w:t>gerne får mulighed for at belyse</w:t>
            </w:r>
            <w:r w:rsidR="000C589D" w:rsidRPr="000C589D">
              <w:t xml:space="preserve"> de økonomiske konsekvenser ved lov</w:t>
            </w:r>
            <w:r w:rsidR="000C589D">
              <w:t>forslag</w:t>
            </w:r>
            <w:r>
              <w:t xml:space="preserve">et, så disse kan indgå i </w:t>
            </w:r>
            <w:r w:rsidR="009738E0">
              <w:t>f</w:t>
            </w:r>
            <w:r>
              <w:t>olketingsbehandlingen.</w:t>
            </w:r>
          </w:p>
          <w:p w:rsidR="00664C7B" w:rsidRDefault="00664C7B" w:rsidP="00913FB6">
            <w:pPr>
              <w:pStyle w:val="Tabel-BrdtekstmedafstandptekstGaramond"/>
            </w:pPr>
          </w:p>
          <w:p w:rsidR="00664C7B" w:rsidRDefault="00534B31" w:rsidP="00534B31">
            <w:pPr>
              <w:pStyle w:val="Tabel-BrdtekstmedafstandptekstGaramond"/>
            </w:pPr>
            <w:r w:rsidRPr="00664C7B">
              <w:lastRenderedPageBreak/>
              <w:t>Det</w:t>
            </w:r>
            <w:r>
              <w:t xml:space="preserve"> anføres, at det </w:t>
            </w:r>
            <w:r w:rsidR="00664C7B" w:rsidRPr="00664C7B">
              <w:t>er helt afg</w:t>
            </w:r>
            <w:r w:rsidR="00664C7B" w:rsidRPr="00664C7B">
              <w:t>ø</w:t>
            </w:r>
            <w:r w:rsidR="00664C7B" w:rsidRPr="00664C7B">
              <w:t>rende, at der politisk er bred fo</w:t>
            </w:r>
            <w:r w:rsidR="00664C7B" w:rsidRPr="00664C7B">
              <w:t>r</w:t>
            </w:r>
            <w:r w:rsidR="00664C7B" w:rsidRPr="00664C7B">
              <w:t>ståelse for, hvorledes der</w:t>
            </w:r>
            <w:r w:rsidR="00664C7B">
              <w:t xml:space="preserve"> –</w:t>
            </w:r>
            <w:r w:rsidR="00664C7B" w:rsidRPr="00664C7B">
              <w:t xml:space="preserve"> i</w:t>
            </w:r>
            <w:r w:rsidR="00664C7B">
              <w:t xml:space="preserve"> </w:t>
            </w:r>
            <w:r w:rsidR="00664C7B" w:rsidRPr="00664C7B">
              <w:t>takt med at statens eget engagement reduceres</w:t>
            </w:r>
            <w:r w:rsidR="00664C7B">
              <w:t xml:space="preserve"> –</w:t>
            </w:r>
            <w:r w:rsidR="00664C7B" w:rsidRPr="00664C7B">
              <w:t xml:space="preserve"> m</w:t>
            </w:r>
            <w:r w:rsidR="00664C7B">
              <w:t xml:space="preserve">å arbejdes for, at </w:t>
            </w:r>
            <w:r w:rsidR="00664C7B" w:rsidRPr="00664C7B">
              <w:t>stat</w:t>
            </w:r>
            <w:r w:rsidR="00664C7B">
              <w:t>en</w:t>
            </w:r>
            <w:r w:rsidR="00664C7B" w:rsidRPr="00664C7B">
              <w:t xml:space="preserve"> sikrer incitamentet hos fonde og private aktører, således at det er attraktivt for disse at støtte vores</w:t>
            </w:r>
            <w:r w:rsidR="00664C7B">
              <w:t xml:space="preserve"> </w:t>
            </w:r>
            <w:r w:rsidR="00664C7B" w:rsidRPr="00664C7B">
              <w:t xml:space="preserve">kunst-, kultur- og forskningsinstitutioner til gavn for et levende dansk kulturliv. </w:t>
            </w:r>
          </w:p>
        </w:tc>
        <w:tc>
          <w:tcPr>
            <w:tcW w:w="209" w:type="dxa"/>
            <w:shd w:val="clear" w:color="auto" w:fill="FFFFFF" w:themeFill="background1"/>
          </w:tcPr>
          <w:p w:rsidR="0021491E" w:rsidRPr="00B5346F" w:rsidRDefault="0021491E" w:rsidP="00122C71"/>
        </w:tc>
        <w:tc>
          <w:tcPr>
            <w:tcW w:w="3259" w:type="dxa"/>
            <w:tcBorders>
              <w:top w:val="single" w:sz="4" w:space="0" w:color="14143C" w:themeColor="accent1"/>
              <w:bottom w:val="single" w:sz="4" w:space="0" w:color="14143C" w:themeColor="accent1"/>
            </w:tcBorders>
            <w:shd w:val="clear" w:color="auto" w:fill="D2CED8"/>
          </w:tcPr>
          <w:p w:rsidR="0021491E" w:rsidRPr="00B5346F" w:rsidRDefault="00227056" w:rsidP="00227056">
            <w:pPr>
              <w:pStyle w:val="Tabel-BrdtekstmedafstandptekstGaramond"/>
            </w:pPr>
            <w:r>
              <w:t>Der henvises til kommentarerne til Akademikerne og CEPOS.</w:t>
            </w:r>
          </w:p>
        </w:tc>
      </w:tr>
      <w:tr w:rsidR="009A36E0" w:rsidRPr="00B5346F" w:rsidTr="00C87589">
        <w:tc>
          <w:tcPr>
            <w:tcW w:w="2653" w:type="dxa"/>
            <w:tcBorders>
              <w:top w:val="single" w:sz="4" w:space="0" w:color="D1C5C3" w:themeColor="accent3"/>
              <w:bottom w:val="single" w:sz="4" w:space="0" w:color="D1C5C3" w:themeColor="accent3"/>
            </w:tcBorders>
            <w:shd w:val="clear" w:color="auto" w:fill="FBF9F9"/>
          </w:tcPr>
          <w:p w:rsidR="00C0001A" w:rsidRPr="00600E3E" w:rsidRDefault="009A36E0" w:rsidP="009A36E0">
            <w:pPr>
              <w:pStyle w:val="Tabel-BrdtekstmedafstandptekstGaramond"/>
              <w:rPr>
                <w:i/>
              </w:rPr>
            </w:pPr>
            <w:r>
              <w:rPr>
                <w:i/>
              </w:rPr>
              <w:lastRenderedPageBreak/>
              <w:t>DI</w:t>
            </w:r>
          </w:p>
        </w:tc>
        <w:tc>
          <w:tcPr>
            <w:tcW w:w="194" w:type="dxa"/>
            <w:shd w:val="clear" w:color="auto" w:fill="FFFFFF" w:themeFill="background1"/>
          </w:tcPr>
          <w:p w:rsidR="00C0001A" w:rsidRPr="00B5346F" w:rsidRDefault="00C0001A" w:rsidP="00122C71"/>
        </w:tc>
        <w:tc>
          <w:tcPr>
            <w:tcW w:w="3324" w:type="dxa"/>
            <w:tcBorders>
              <w:top w:val="single" w:sz="4" w:space="0" w:color="D1C5C3" w:themeColor="accent3"/>
              <w:bottom w:val="single" w:sz="4" w:space="0" w:color="D1C5C3" w:themeColor="accent3"/>
            </w:tcBorders>
            <w:shd w:val="clear" w:color="auto" w:fill="FBF9F9"/>
          </w:tcPr>
          <w:p w:rsidR="008C569D" w:rsidRDefault="008C569D" w:rsidP="008C569D">
            <w:pPr>
              <w:pStyle w:val="Tabel-BrdtekstmedafstandptekstGaramond"/>
            </w:pPr>
            <w:r w:rsidRPr="008C569D">
              <w:t>DI er særdeles kritisk over for de foreslåede stramninger, som vil medføre en mærkbar forringelse af vilkårene for erhvervsdrivende fonde i Danmark. Hvis lovforsl</w:t>
            </w:r>
            <w:r w:rsidRPr="008C569D">
              <w:t>a</w:t>
            </w:r>
            <w:r w:rsidRPr="008C569D">
              <w:t>get gennemføres</w:t>
            </w:r>
            <w:r>
              <w:t>,</w:t>
            </w:r>
            <w:r w:rsidRPr="008C569D">
              <w:t xml:space="preserve"> vil det få bet</w:t>
            </w:r>
            <w:r w:rsidRPr="008C569D">
              <w:t>y</w:t>
            </w:r>
            <w:r w:rsidRPr="008C569D">
              <w:t>delige konsekvenser for fondenes uddelinger til almennyttige fo</w:t>
            </w:r>
            <w:r w:rsidRPr="008C569D">
              <w:t>r</w:t>
            </w:r>
            <w:r w:rsidRPr="008C569D">
              <w:t>mål som forskning, kunst og ku</w:t>
            </w:r>
            <w:r w:rsidRPr="008C569D">
              <w:t>l</w:t>
            </w:r>
            <w:r w:rsidRPr="008C569D">
              <w:t>tur samt sociale formål; ligesom det vil skabe usikkerhed om rammevilkårene for at drive vir</w:t>
            </w:r>
            <w:r w:rsidRPr="008C569D">
              <w:t>k</w:t>
            </w:r>
            <w:r w:rsidRPr="008C569D">
              <w:t xml:space="preserve">somhed i Danmark. </w:t>
            </w:r>
          </w:p>
          <w:p w:rsidR="008C569D" w:rsidRPr="008C569D" w:rsidRDefault="008C569D" w:rsidP="008C569D">
            <w:pPr>
              <w:pStyle w:val="Tabel-BrdtekstmedafstandptekstGaramond"/>
            </w:pPr>
          </w:p>
          <w:p w:rsidR="008C569D" w:rsidRDefault="00523C49" w:rsidP="008C569D">
            <w:pPr>
              <w:pStyle w:val="Tabel-BrdtekstmedafstandptekstGaramond"/>
            </w:pPr>
            <w:r>
              <w:t>DI anfører, at l</w:t>
            </w:r>
            <w:r w:rsidR="008C569D" w:rsidRPr="008C569D">
              <w:t>ovforslaget sål</w:t>
            </w:r>
            <w:r w:rsidR="008C569D" w:rsidRPr="008C569D">
              <w:t>e</w:t>
            </w:r>
            <w:r w:rsidR="008C569D" w:rsidRPr="008C569D">
              <w:t>des ikke alene</w:t>
            </w:r>
            <w:r>
              <w:t xml:space="preserve"> strider</w:t>
            </w:r>
            <w:r w:rsidR="008C569D" w:rsidRPr="008C569D">
              <w:t xml:space="preserve"> mod reg</w:t>
            </w:r>
            <w:r w:rsidR="008C569D" w:rsidRPr="008C569D">
              <w:t>e</w:t>
            </w:r>
            <w:r w:rsidR="008C569D" w:rsidRPr="008C569D">
              <w:t>ringens skatte- og byrdestop, men tillige</w:t>
            </w:r>
            <w:r w:rsidR="001E7E23">
              <w:t xml:space="preserve"> er</w:t>
            </w:r>
            <w:r w:rsidR="008C569D" w:rsidRPr="008C569D">
              <w:t xml:space="preserve"> i strid med regeri</w:t>
            </w:r>
            <w:r w:rsidR="008C569D" w:rsidRPr="008C569D">
              <w:t>n</w:t>
            </w:r>
            <w:r w:rsidR="008C569D" w:rsidRPr="008C569D">
              <w:t>gens erklærede målsætning om at forbedre vilkårene for erhverv</w:t>
            </w:r>
            <w:r w:rsidR="008C569D" w:rsidRPr="008C569D">
              <w:t>s</w:t>
            </w:r>
            <w:r w:rsidR="008C569D" w:rsidRPr="008C569D">
              <w:t>drivende fonde samt regeringens ønske om større uddelinger fra fonde til blandt andet forskning. En række store almenvelgørende fonde har efter fremsættelsen af lovforslaget indsamlet informat</w:t>
            </w:r>
            <w:r w:rsidR="008C569D" w:rsidRPr="008C569D">
              <w:t>i</w:t>
            </w:r>
            <w:r w:rsidR="008C569D" w:rsidRPr="008C569D">
              <w:t>oner, der tyder på, at det umi</w:t>
            </w:r>
            <w:r w:rsidR="008C569D" w:rsidRPr="008C569D">
              <w:t>d</w:t>
            </w:r>
            <w:r w:rsidR="008C569D" w:rsidRPr="008C569D">
              <w:t xml:space="preserve">delbare merprovenu vil </w:t>
            </w:r>
            <w:r w:rsidR="008C569D">
              <w:t xml:space="preserve">være </w:t>
            </w:r>
            <w:r w:rsidR="008C569D" w:rsidRPr="008C569D">
              <w:t>mange gange større end anført i bemærkningerne til lovforslaget. Provenuberegningerne i lo</w:t>
            </w:r>
            <w:r w:rsidR="008C569D" w:rsidRPr="008C569D">
              <w:t>v</w:t>
            </w:r>
            <w:r w:rsidR="008C569D" w:rsidRPr="008C569D">
              <w:lastRenderedPageBreak/>
              <w:t>forslaget bygger således efter det foreliggende på et forkert grun</w:t>
            </w:r>
            <w:r w:rsidR="008C569D" w:rsidRPr="008C569D">
              <w:t>d</w:t>
            </w:r>
            <w:r w:rsidR="008C569D" w:rsidRPr="008C569D">
              <w:t xml:space="preserve">lag. </w:t>
            </w:r>
          </w:p>
          <w:p w:rsidR="008C569D" w:rsidRPr="008C569D" w:rsidRDefault="008C569D" w:rsidP="008C569D">
            <w:pPr>
              <w:pStyle w:val="Tabel-BrdtekstmedafstandptekstGaramond"/>
            </w:pPr>
          </w:p>
          <w:p w:rsidR="00065144" w:rsidRDefault="008C569D" w:rsidP="008C569D">
            <w:pPr>
              <w:pStyle w:val="Tabel-BrdtekstmedafstandptekstGaramond"/>
            </w:pPr>
            <w:r w:rsidRPr="008C569D">
              <w:t>DI finder det endvidere probl</w:t>
            </w:r>
            <w:r w:rsidRPr="008C569D">
              <w:t>e</w:t>
            </w:r>
            <w:r w:rsidRPr="008C569D">
              <w:t>matisk, at stramningerne ge</w:t>
            </w:r>
            <w:r w:rsidRPr="008C569D">
              <w:t>n</w:t>
            </w:r>
            <w:r w:rsidRPr="008C569D">
              <w:t>nemføres med så kort varsel og uden forudgående behørig ko</w:t>
            </w:r>
            <w:r w:rsidRPr="008C569D">
              <w:t>n</w:t>
            </w:r>
            <w:r w:rsidRPr="008C569D">
              <w:t>sultation af de berørte fonde.</w:t>
            </w:r>
          </w:p>
          <w:p w:rsidR="00065144" w:rsidRDefault="00065144" w:rsidP="008C569D">
            <w:pPr>
              <w:pStyle w:val="Tabel-BrdtekstmedafstandptekstGaramond"/>
            </w:pPr>
          </w:p>
          <w:p w:rsidR="00065144" w:rsidRPr="00065144" w:rsidRDefault="00065144" w:rsidP="00065144">
            <w:pPr>
              <w:pStyle w:val="Tabel-BrdtekstmedafstandptekstGaramond"/>
            </w:pPr>
            <w:r w:rsidRPr="00065144">
              <w:rPr>
                <w:b/>
              </w:rPr>
              <w:t>Konsolideringsfradraget</w:t>
            </w:r>
          </w:p>
          <w:p w:rsidR="00065144" w:rsidRDefault="00065144" w:rsidP="00065144">
            <w:pPr>
              <w:pStyle w:val="Tabel-BrdtekstmedafstandptekstGaramond"/>
            </w:pPr>
            <w:r>
              <w:t xml:space="preserve">DI </w:t>
            </w:r>
            <w:r w:rsidRPr="00065144">
              <w:t>pege</w:t>
            </w:r>
            <w:r>
              <w:t>r på, at f</w:t>
            </w:r>
            <w:r w:rsidRPr="00065144">
              <w:t>onde har et sæ</w:t>
            </w:r>
            <w:r w:rsidRPr="00065144">
              <w:t>r</w:t>
            </w:r>
            <w:r w:rsidRPr="00065144">
              <w:t>ligt behov for konsolidering, idet de ikke har ejere, der kan bidrage med yderligere midler, hvis der bliver behov for det. Konsolid</w:t>
            </w:r>
            <w:r w:rsidRPr="00065144">
              <w:t>e</w:t>
            </w:r>
            <w:r>
              <w:t>ringsfra</w:t>
            </w:r>
            <w:r w:rsidRPr="00065144">
              <w:t>draget er også afgørende i forhold til at give fondene muli</w:t>
            </w:r>
            <w:r w:rsidRPr="00065144">
              <w:t>g</w:t>
            </w:r>
            <w:r w:rsidRPr="00065144">
              <w:t>hed for at spare op til opkøb af virksomhed, foretage uddelinger m</w:t>
            </w:r>
            <w:r>
              <w:t>.</w:t>
            </w:r>
            <w:r w:rsidRPr="00065144">
              <w:t>v.</w:t>
            </w:r>
          </w:p>
          <w:p w:rsidR="00065144" w:rsidRDefault="00065144" w:rsidP="00065144">
            <w:pPr>
              <w:pStyle w:val="Tabel-BrdtekstmedafstandptekstGaramond"/>
            </w:pPr>
          </w:p>
          <w:p w:rsidR="00065144" w:rsidRDefault="00065144" w:rsidP="00065144">
            <w:pPr>
              <w:pStyle w:val="Tabel-BrdtekstmedafstandptekstGaramond"/>
            </w:pPr>
            <w:r w:rsidRPr="00065144">
              <w:t>For de større erhvervsdrivende fonde, der både har almennyttige formål og betydelig erhvervsakt</w:t>
            </w:r>
            <w:r w:rsidRPr="00065144">
              <w:t>i</w:t>
            </w:r>
            <w:r w:rsidRPr="00065144">
              <w:t>vitet, vil fjernelsen af konsolid</w:t>
            </w:r>
            <w:r w:rsidRPr="00065144">
              <w:t>e</w:t>
            </w:r>
            <w:r w:rsidRPr="00065144">
              <w:t>ringsfradraget indebære, at udd</w:t>
            </w:r>
            <w:r w:rsidRPr="00065144">
              <w:t>e</w:t>
            </w:r>
            <w:r w:rsidRPr="00065144">
              <w:t>lingsstrategien må revurderes</w:t>
            </w:r>
            <w:r>
              <w:t>. Dette vil have d</w:t>
            </w:r>
            <w:r w:rsidRPr="00065144">
              <w:t>et sandsynlige r</w:t>
            </w:r>
            <w:r w:rsidRPr="00065144">
              <w:t>e</w:t>
            </w:r>
            <w:r w:rsidRPr="00065144">
              <w:t>sultat, at uddelingsniveauet på sigt reduce</w:t>
            </w:r>
            <w:r>
              <w:t>res be</w:t>
            </w:r>
            <w:r w:rsidRPr="00065144">
              <w:t>tydeligt i forhold til, hvad det ellers ville have v</w:t>
            </w:r>
            <w:r w:rsidRPr="00065144">
              <w:t>æ</w:t>
            </w:r>
            <w:r w:rsidRPr="00065144">
              <w:t>ret. De økonomiske konsekve</w:t>
            </w:r>
            <w:r w:rsidRPr="00065144">
              <w:t>n</w:t>
            </w:r>
            <w:r w:rsidRPr="00065144">
              <w:t>ser af at afskaffe konsolidering</w:t>
            </w:r>
            <w:r w:rsidRPr="00065144">
              <w:t>s</w:t>
            </w:r>
            <w:r w:rsidRPr="00065144">
              <w:t>fradraget bør derfor vurderes nærmere. Det er DI’s opfattelse, at en afskaffelse vil have betyd</w:t>
            </w:r>
            <w:r w:rsidRPr="00065144">
              <w:t>e</w:t>
            </w:r>
            <w:r w:rsidRPr="00065144">
              <w:t>ligt større konsekvenser end fo</w:t>
            </w:r>
            <w:r w:rsidRPr="00065144">
              <w:t>r</w:t>
            </w:r>
            <w:r w:rsidRPr="00065144">
              <w:t xml:space="preserve">udsat i lovforslaget. </w:t>
            </w:r>
          </w:p>
          <w:p w:rsidR="00065144" w:rsidRPr="00065144" w:rsidRDefault="00065144" w:rsidP="00065144">
            <w:pPr>
              <w:pStyle w:val="Tabel-BrdtekstmedafstandptekstGaramond"/>
            </w:pPr>
          </w:p>
          <w:p w:rsidR="00065144" w:rsidRDefault="00065144" w:rsidP="00065144">
            <w:pPr>
              <w:pStyle w:val="Tabel-BrdtekstmedafstandptekstGaramond"/>
            </w:pPr>
            <w:r w:rsidRPr="00065144">
              <w:t>D</w:t>
            </w:r>
            <w:r w:rsidR="001E7E23">
              <w:t>I anfører, at d</w:t>
            </w:r>
            <w:r w:rsidRPr="00065144">
              <w:t>en foreslåede ikrafttrædelsesregel, hvorefter fradrag for hensættelser til ko</w:t>
            </w:r>
            <w:r w:rsidRPr="00065144">
              <w:t>n</w:t>
            </w:r>
            <w:r w:rsidRPr="00065144">
              <w:t xml:space="preserve">solidering kun kan foretages på </w:t>
            </w:r>
            <w:r w:rsidRPr="00065144">
              <w:lastRenderedPageBreak/>
              <w:t>grundlag af uddelinger, der er f</w:t>
            </w:r>
            <w:r w:rsidRPr="00065144">
              <w:t>o</w:t>
            </w:r>
            <w:r w:rsidRPr="00065144">
              <w:t>retaget til og med den 19. n</w:t>
            </w:r>
            <w:r w:rsidRPr="00065144">
              <w:t>o</w:t>
            </w:r>
            <w:r w:rsidRPr="00065144">
              <w:t xml:space="preserve">vember 2015, ikke </w:t>
            </w:r>
            <w:r w:rsidR="001E7E23">
              <w:t xml:space="preserve">er </w:t>
            </w:r>
            <w:r w:rsidRPr="00065144">
              <w:t>rimeligt b</w:t>
            </w:r>
            <w:r w:rsidRPr="00065144">
              <w:t>e</w:t>
            </w:r>
            <w:r w:rsidRPr="00065144">
              <w:t>grundet. Lovforslaget tilsigter i</w:t>
            </w:r>
            <w:r w:rsidRPr="00065144">
              <w:t>k</w:t>
            </w:r>
            <w:r w:rsidRPr="00065144">
              <w:t>ke at lukke et ”hul” i reglerne, men lægger derimod op til fra den ene dag til den anden at a</w:t>
            </w:r>
            <w:r w:rsidRPr="00065144">
              <w:t>f</w:t>
            </w:r>
            <w:r w:rsidRPr="00065144">
              <w:t>skaffe en regel, som fondene har disponeret efter. Dette finder DI ikke rimeligt.</w:t>
            </w:r>
          </w:p>
          <w:p w:rsidR="00FE41E8" w:rsidRDefault="00FE41E8" w:rsidP="00065144">
            <w:pPr>
              <w:pStyle w:val="Tabel-BrdtekstmedafstandptekstGaramond"/>
            </w:pPr>
          </w:p>
          <w:p w:rsidR="00FE41E8" w:rsidRDefault="00FE41E8" w:rsidP="00065144">
            <w:pPr>
              <w:pStyle w:val="Tabel-BrdtekstmedafstandptekstGaramond"/>
              <w:rPr>
                <w:b/>
              </w:rPr>
            </w:pPr>
            <w:r w:rsidRPr="00FE41E8">
              <w:rPr>
                <w:b/>
              </w:rPr>
              <w:t>Overførselsreglen</w:t>
            </w:r>
          </w:p>
          <w:p w:rsidR="00FE41E8" w:rsidRDefault="001E7E23" w:rsidP="00FE41E8">
            <w:pPr>
              <w:pStyle w:val="Tabel-BrdtekstmedafstandptekstGaramond"/>
            </w:pPr>
            <w:r>
              <w:t>DI påpeger, at o</w:t>
            </w:r>
            <w:r w:rsidR="00FE41E8" w:rsidRPr="00FE41E8">
              <w:t>verførselsreglen i sin tid</w:t>
            </w:r>
            <w:r>
              <w:t xml:space="preserve"> blev</w:t>
            </w:r>
            <w:r w:rsidR="00FE41E8" w:rsidRPr="00FE41E8">
              <w:t xml:space="preserve"> indført for at ligestille virksomhed, der bliver drevet d</w:t>
            </w:r>
            <w:r w:rsidR="00FE41E8" w:rsidRPr="00FE41E8">
              <w:t>i</w:t>
            </w:r>
            <w:r w:rsidR="00FE41E8" w:rsidRPr="00FE41E8">
              <w:t>rekte i fonden</w:t>
            </w:r>
            <w:r w:rsidR="00FE41E8">
              <w:t>,</w:t>
            </w:r>
            <w:r w:rsidR="00FE41E8" w:rsidRPr="00FE41E8">
              <w:t xml:space="preserve"> med virksomhed drevet i et selskab ejet af fonden. Med den foreslåede afskaffelse af reglen vil denne forskel opstå igen. Det er et grundlæggende princip, at skatteretten ikke bør stå i vejen for, at en virksomhed indretter sig hensigtsmæssigt i en koncern. For mange erhvervsdr</w:t>
            </w:r>
            <w:r w:rsidR="00FE41E8" w:rsidRPr="00FE41E8">
              <w:t>i</w:t>
            </w:r>
            <w:r w:rsidR="00FE41E8" w:rsidRPr="00FE41E8">
              <w:t>vende fonde er det en væsentlig fordel, at der kan ske en opdeling af fondens organisation i de e</w:t>
            </w:r>
            <w:r w:rsidR="00FE41E8" w:rsidRPr="00FE41E8">
              <w:t>r</w:t>
            </w:r>
            <w:r w:rsidR="00FE41E8" w:rsidRPr="00FE41E8">
              <w:t>hvervsorienterede og de udd</w:t>
            </w:r>
            <w:r w:rsidR="00FE41E8" w:rsidRPr="00FE41E8">
              <w:t>e</w:t>
            </w:r>
            <w:r w:rsidR="00FE41E8" w:rsidRPr="00FE41E8">
              <w:t>lingsorienterede aktiviteter. Det sikrer en fokusering af komp</w:t>
            </w:r>
            <w:r w:rsidR="00FE41E8" w:rsidRPr="00FE41E8">
              <w:t>e</w:t>
            </w:r>
            <w:r w:rsidR="00FE41E8" w:rsidRPr="00FE41E8">
              <w:t>tencer og ledelse, hvilket har v</w:t>
            </w:r>
            <w:r w:rsidR="00FE41E8" w:rsidRPr="00FE41E8">
              <w:t>æ</w:t>
            </w:r>
            <w:r w:rsidR="00FE41E8" w:rsidRPr="00FE41E8">
              <w:t>ret med til at understøtte en pr</w:t>
            </w:r>
            <w:r w:rsidR="00FE41E8" w:rsidRPr="00FE41E8">
              <w:t>o</w:t>
            </w:r>
            <w:r w:rsidR="00FE41E8" w:rsidRPr="00FE41E8">
              <w:t xml:space="preserve">fessionalisering af begge områder hos fondene. </w:t>
            </w:r>
          </w:p>
          <w:p w:rsidR="00FE41E8" w:rsidRPr="00FE41E8" w:rsidRDefault="00FE41E8" w:rsidP="00FE41E8">
            <w:pPr>
              <w:pStyle w:val="Tabel-BrdtekstmedafstandptekstGaramond"/>
            </w:pPr>
          </w:p>
          <w:p w:rsidR="00FE41E8" w:rsidRDefault="00FE41E8" w:rsidP="00FE41E8">
            <w:pPr>
              <w:pStyle w:val="Tabel-BrdtekstmedafstandptekstGaramond"/>
            </w:pPr>
            <w:r w:rsidRPr="00FE41E8">
              <w:t>Det anføres i lovforslaget, at r</w:t>
            </w:r>
            <w:r w:rsidRPr="00FE41E8">
              <w:t>e</w:t>
            </w:r>
            <w:r w:rsidRPr="00FE41E8">
              <w:t xml:space="preserve">gelændringen sker for at ligestille fonde med selskaber. </w:t>
            </w:r>
            <w:r w:rsidR="001E7E23">
              <w:t>DI anfører, at f</w:t>
            </w:r>
            <w:r w:rsidRPr="00FE41E8">
              <w:t xml:space="preserve">onde og selskaber imidlertid på en række afgørende punkter </w:t>
            </w:r>
            <w:r w:rsidR="001E7E23">
              <w:t xml:space="preserve">er </w:t>
            </w:r>
            <w:r w:rsidRPr="00FE41E8">
              <w:t>forskellige. Det offentlige stiller omfattende krav til fonde</w:t>
            </w:r>
            <w:r>
              <w:t>,</w:t>
            </w:r>
            <w:r w:rsidRPr="00FE41E8">
              <w:t xml:space="preserve"> he</w:t>
            </w:r>
            <w:r w:rsidRPr="00FE41E8">
              <w:t>r</w:t>
            </w:r>
            <w:r w:rsidRPr="00FE41E8">
              <w:t>under om stifterens uigenkaldel</w:t>
            </w:r>
            <w:r w:rsidRPr="00FE41E8">
              <w:t>i</w:t>
            </w:r>
            <w:r w:rsidRPr="00FE41E8">
              <w:t>g</w:t>
            </w:r>
            <w:r>
              <w:t>e opgivelse af ejer</w:t>
            </w:r>
            <w:r w:rsidRPr="00FE41E8">
              <w:t xml:space="preserve">skabet, samt </w:t>
            </w:r>
            <w:r w:rsidRPr="00FE41E8">
              <w:lastRenderedPageBreak/>
              <w:t>fondens anvendelse af overskud til almenvelgørende eller på a</w:t>
            </w:r>
            <w:r w:rsidRPr="00FE41E8">
              <w:t>n</w:t>
            </w:r>
            <w:r w:rsidRPr="00FE41E8">
              <w:t>den måde almennyttige formål. Disse særlige forhold indebærer, at der er gode argumenter for at have andre regler for fonde end for selskaber på dette punkt. Overførselsreglen skal ses som modstykke til, at fonde ikke som selskaber kan sambeskattes med deres datter</w:t>
            </w:r>
            <w:r>
              <w:t>selska</w:t>
            </w:r>
            <w:r w:rsidRPr="00FE41E8">
              <w:t xml:space="preserve">ber. </w:t>
            </w:r>
          </w:p>
          <w:p w:rsidR="00FE41E8" w:rsidRPr="00FE41E8" w:rsidRDefault="00FE41E8" w:rsidP="00FE41E8">
            <w:pPr>
              <w:pStyle w:val="Tabel-BrdtekstmedafstandptekstGaramond"/>
            </w:pPr>
          </w:p>
          <w:p w:rsidR="00FE41E8" w:rsidRDefault="00FE41E8" w:rsidP="00FE41E8">
            <w:pPr>
              <w:pStyle w:val="Tabel-BrdtekstmedafstandptekstGaramond"/>
            </w:pPr>
            <w:r w:rsidRPr="00FE41E8">
              <w:t>Også i forhold til denne del af lovforslaget er det DI’s opfatte</w:t>
            </w:r>
            <w:r w:rsidRPr="00FE41E8">
              <w:t>l</w:t>
            </w:r>
            <w:r w:rsidRPr="00FE41E8">
              <w:t>se, at de økonomiske konsekve</w:t>
            </w:r>
            <w:r w:rsidRPr="00FE41E8">
              <w:t>n</w:t>
            </w:r>
            <w:r w:rsidRPr="00FE41E8">
              <w:t>ser undervurderes og derfor bør revurderes. Endvidere må en a</w:t>
            </w:r>
            <w:r w:rsidRPr="00FE41E8">
              <w:t>f</w:t>
            </w:r>
            <w:r>
              <w:t>skaffelse af transpa</w:t>
            </w:r>
            <w:r w:rsidRPr="00FE41E8">
              <w:t>rensreglen forventes at medføre betydelige administrative omkostninger, når fonde og virksomheder efterfø</w:t>
            </w:r>
            <w:r w:rsidRPr="00FE41E8">
              <w:t>l</w:t>
            </w:r>
            <w:r w:rsidRPr="00FE41E8">
              <w:t>gende skal tilpasse sig de ændrede lovgivningsmæssige rammer.</w:t>
            </w:r>
          </w:p>
          <w:p w:rsidR="0048140C" w:rsidRDefault="0048140C" w:rsidP="00FE41E8">
            <w:pPr>
              <w:pStyle w:val="Tabel-BrdtekstmedafstandptekstGaramond"/>
            </w:pPr>
          </w:p>
          <w:p w:rsidR="0048140C" w:rsidRDefault="0048140C" w:rsidP="00FE41E8">
            <w:pPr>
              <w:pStyle w:val="Tabel-BrdtekstmedafstandptekstGaramond"/>
              <w:rPr>
                <w:b/>
              </w:rPr>
            </w:pPr>
            <w:r w:rsidRPr="0048140C">
              <w:rPr>
                <w:b/>
              </w:rPr>
              <w:t>Prioriteringsreglen</w:t>
            </w:r>
          </w:p>
          <w:p w:rsidR="0048140C" w:rsidRDefault="0048140C" w:rsidP="00FE41E8">
            <w:pPr>
              <w:pStyle w:val="Tabel-BrdtekstmedafstandptekstGaramond"/>
            </w:pPr>
            <w:r w:rsidRPr="0048140C">
              <w:t>Prioriteringsreglen i fondsb</w:t>
            </w:r>
            <w:r w:rsidRPr="0048140C">
              <w:t>e</w:t>
            </w:r>
            <w:r w:rsidRPr="0048140C">
              <w:t>skatningslovens § 6 forhindre</w:t>
            </w:r>
            <w:r>
              <w:t>r, at fonde eller foreninger fo</w:t>
            </w:r>
            <w:r w:rsidRPr="0048140C">
              <w:t>retager opsparing på grundlag</w:t>
            </w:r>
            <w:r>
              <w:t xml:space="preserve"> af fondens skattefri indtægter, </w:t>
            </w:r>
            <w:r w:rsidRPr="0048140C">
              <w:t>mens de fr</w:t>
            </w:r>
            <w:r w:rsidRPr="0048140C">
              <w:t>a</w:t>
            </w:r>
            <w:r w:rsidRPr="0048140C">
              <w:t xml:space="preserve">dragsberettigede dispositioner alene foretages på grundlag af fondens skattepligtige indkomst. </w:t>
            </w:r>
            <w:r w:rsidR="001E7E23">
              <w:t>DI anfører, at p</w:t>
            </w:r>
            <w:r w:rsidRPr="0048140C">
              <w:t>rioriteringsreglen imidlertid</w:t>
            </w:r>
            <w:r w:rsidR="001E7E23">
              <w:t xml:space="preserve"> </w:t>
            </w:r>
            <w:r w:rsidR="001E7E23" w:rsidRPr="0048140C">
              <w:t>overser</w:t>
            </w:r>
            <w:r w:rsidRPr="0048140C">
              <w:t>, at fondens udbytte fra datterselskaber aller</w:t>
            </w:r>
            <w:r w:rsidRPr="0048140C">
              <w:t>e</w:t>
            </w:r>
            <w:r w:rsidRPr="0048140C">
              <w:t>de er beskattet i datterselskabet (medmindre transparensreglen finder anvendelse, i hvilket tilfæ</w:t>
            </w:r>
            <w:r w:rsidRPr="0048140C">
              <w:t>l</w:t>
            </w:r>
            <w:r w:rsidRPr="0048140C">
              <w:t xml:space="preserve">de indkomsten </w:t>
            </w:r>
            <w:r w:rsidRPr="0048140C">
              <w:rPr>
                <w:i/>
                <w:iCs/>
              </w:rPr>
              <w:t xml:space="preserve">skal </w:t>
            </w:r>
            <w:r w:rsidRPr="0048140C">
              <w:t>uddeles fra fonden), hvorved der reelt sker en indirekte dobbeltbeskatning af datterselskabsudbyttet.</w:t>
            </w:r>
          </w:p>
          <w:p w:rsidR="0048140C" w:rsidRDefault="0048140C" w:rsidP="00FE41E8">
            <w:pPr>
              <w:pStyle w:val="Tabel-BrdtekstmedafstandptekstGaramond"/>
            </w:pPr>
          </w:p>
          <w:p w:rsidR="0048140C" w:rsidRPr="0048140C" w:rsidRDefault="0048140C" w:rsidP="00523C2A">
            <w:pPr>
              <w:pStyle w:val="Tabel-BrdtekstmedafstandptekstGaramond"/>
            </w:pPr>
            <w:r w:rsidRPr="0048140C">
              <w:lastRenderedPageBreak/>
              <w:t>Set i sammenhæng med konsol</w:t>
            </w:r>
            <w:r w:rsidRPr="0048140C">
              <w:t>i</w:t>
            </w:r>
            <w:r w:rsidRPr="0048140C">
              <w:t>deringsfradraget betyder priorit</w:t>
            </w:r>
            <w:r w:rsidRPr="0048140C">
              <w:t>e</w:t>
            </w:r>
            <w:r w:rsidRPr="0048140C">
              <w:t>ringsreglen, at konsoli-deringsfradraget for foretagne uddelinger ikke kan udnyttes</w:t>
            </w:r>
            <w:r w:rsidR="000C5EE1">
              <w:t>,</w:t>
            </w:r>
            <w:r w:rsidRPr="0048140C">
              <w:t xml:space="preserve"> før disse er fradraget i fondens eve</w:t>
            </w:r>
            <w:r w:rsidRPr="0048140C">
              <w:t>n</w:t>
            </w:r>
            <w:r w:rsidRPr="0048140C">
              <w:t>tuelle skattefrie indkomst. He</w:t>
            </w:r>
            <w:r w:rsidRPr="0048140C">
              <w:t>r</w:t>
            </w:r>
            <w:r w:rsidRPr="0048140C">
              <w:t>ved er det reelle fradrag enten mindre end 125 pct. eller bortfa</w:t>
            </w:r>
            <w:r w:rsidRPr="0048140C">
              <w:t>l</w:t>
            </w:r>
            <w:r w:rsidRPr="0048140C">
              <w:t>der helt for fonden. Såfremt lo</w:t>
            </w:r>
            <w:r w:rsidRPr="0048140C">
              <w:t>v</w:t>
            </w:r>
            <w:r w:rsidRPr="0048140C">
              <w:t>forslagets del vedrørende afska</w:t>
            </w:r>
            <w:r w:rsidRPr="0048140C">
              <w:t>f</w:t>
            </w:r>
            <w:r w:rsidRPr="0048140C">
              <w:t>felse af konsolideringsfradraget fremmes</w:t>
            </w:r>
            <w:r w:rsidR="000C5EE1">
              <w:t>,</w:t>
            </w:r>
            <w:r w:rsidRPr="0048140C">
              <w:t xml:space="preserve"> bør det derfor</w:t>
            </w:r>
            <w:r w:rsidR="001E7E23">
              <w:t xml:space="preserve"> efter D</w:t>
            </w:r>
            <w:r w:rsidR="00523C2A">
              <w:t>I</w:t>
            </w:r>
            <w:r w:rsidR="00C36F62">
              <w:t>’</w:t>
            </w:r>
            <w:r w:rsidR="001E7E23">
              <w:t>s opfattelse</w:t>
            </w:r>
            <w:r w:rsidRPr="0048140C">
              <w:t xml:space="preserve"> føre til fornyet overvejelse af priorite-ringsreglens berettigelse.</w:t>
            </w:r>
          </w:p>
        </w:tc>
        <w:tc>
          <w:tcPr>
            <w:tcW w:w="209" w:type="dxa"/>
            <w:shd w:val="clear" w:color="auto" w:fill="FFFFFF" w:themeFill="background1"/>
          </w:tcPr>
          <w:p w:rsidR="00C0001A" w:rsidRPr="00B5346F" w:rsidRDefault="00C0001A" w:rsidP="00122C71"/>
        </w:tc>
        <w:tc>
          <w:tcPr>
            <w:tcW w:w="3259" w:type="dxa"/>
            <w:tcBorders>
              <w:top w:val="single" w:sz="4" w:space="0" w:color="14143C" w:themeColor="accent1"/>
              <w:bottom w:val="single" w:sz="4" w:space="0" w:color="14143C" w:themeColor="accent1"/>
            </w:tcBorders>
            <w:shd w:val="clear" w:color="auto" w:fill="D2CED8"/>
          </w:tcPr>
          <w:p w:rsidR="00C0001A" w:rsidRDefault="008C569D" w:rsidP="00122C71">
            <w:pPr>
              <w:pStyle w:val="Tabel-BrdtekstmedafstandptekstGaramond"/>
            </w:pPr>
            <w:r>
              <w:t xml:space="preserve">Der henvises til kommentaren til Akademikerne og </w:t>
            </w:r>
            <w:r w:rsidRPr="008C569D">
              <w:t>Danmarks Forsknings- og Innovationspol</w:t>
            </w:r>
            <w:r w:rsidRPr="008C569D">
              <w:t>i</w:t>
            </w:r>
            <w:r>
              <w:t>tiske Råd.</w:t>
            </w:r>
          </w:p>
          <w:p w:rsidR="00E75668" w:rsidRDefault="00E75668" w:rsidP="00122C71">
            <w:pPr>
              <w:pStyle w:val="Tabel-BrdtekstmedafstandptekstGaramond"/>
            </w:pPr>
          </w:p>
          <w:p w:rsidR="00E75668" w:rsidRDefault="00E75668" w:rsidP="00122C71">
            <w:pPr>
              <w:pStyle w:val="Tabel-BrdtekstmedafstandptekstGaramond"/>
            </w:pPr>
          </w:p>
          <w:p w:rsidR="00E75668" w:rsidRDefault="00E75668" w:rsidP="00122C71">
            <w:pPr>
              <w:pStyle w:val="Tabel-BrdtekstmedafstandptekstGaramond"/>
            </w:pPr>
          </w:p>
          <w:p w:rsidR="00E75668" w:rsidRDefault="00E75668" w:rsidP="00122C71">
            <w:pPr>
              <w:pStyle w:val="Tabel-BrdtekstmedafstandptekstGaramond"/>
            </w:pPr>
          </w:p>
          <w:p w:rsidR="00E75668" w:rsidRDefault="00E75668" w:rsidP="00122C71">
            <w:pPr>
              <w:pStyle w:val="Tabel-BrdtekstmedafstandptekstGaramond"/>
            </w:pPr>
          </w:p>
          <w:p w:rsidR="00E75668" w:rsidRDefault="00E75668" w:rsidP="00122C71">
            <w:pPr>
              <w:pStyle w:val="Tabel-BrdtekstmedafstandptekstGaramond"/>
            </w:pPr>
          </w:p>
          <w:p w:rsidR="00E75668" w:rsidRDefault="00E75668" w:rsidP="00122C71">
            <w:pPr>
              <w:pStyle w:val="Tabel-BrdtekstmedafstandptekstGaramond"/>
            </w:pPr>
          </w:p>
          <w:p w:rsidR="00E75668" w:rsidRDefault="00E75668" w:rsidP="00122C71">
            <w:pPr>
              <w:pStyle w:val="Tabel-BrdtekstmedafstandptekstGaramond"/>
            </w:pPr>
          </w:p>
          <w:p w:rsidR="00E75668" w:rsidRDefault="00E75668" w:rsidP="00122C71">
            <w:pPr>
              <w:pStyle w:val="Tabel-BrdtekstmedafstandptekstGaramond"/>
            </w:pPr>
          </w:p>
          <w:p w:rsidR="00E75668" w:rsidRDefault="00E75668" w:rsidP="00122C71">
            <w:pPr>
              <w:pStyle w:val="Tabel-BrdtekstmedafstandptekstGaramond"/>
            </w:pPr>
          </w:p>
          <w:p w:rsidR="00E75668" w:rsidRDefault="00E75668" w:rsidP="00A30ADC">
            <w:pPr>
              <w:pStyle w:val="Tabel-BrdtekstmedafstandptekstGaramond"/>
            </w:pPr>
            <w:r>
              <w:t xml:space="preserve">Der henvises til kommentarerne til CEPOS og </w:t>
            </w:r>
            <w:r w:rsidR="00A30ADC" w:rsidRPr="001465F2">
              <w:t>Deloitte, EY, KPMG og PwC</w:t>
            </w:r>
            <w:r w:rsidR="00A30ADC">
              <w:t>.</w:t>
            </w:r>
          </w:p>
          <w:p w:rsidR="004755BB" w:rsidRDefault="004755BB" w:rsidP="00A30ADC">
            <w:pPr>
              <w:pStyle w:val="Tabel-BrdtekstmedafstandptekstGaramond"/>
            </w:pPr>
          </w:p>
          <w:p w:rsidR="004755BB" w:rsidRDefault="004755BB" w:rsidP="00A30ADC">
            <w:pPr>
              <w:pStyle w:val="Tabel-BrdtekstmedafstandptekstGaramond"/>
            </w:pPr>
          </w:p>
          <w:p w:rsidR="004755BB" w:rsidRDefault="004755BB" w:rsidP="00A30ADC">
            <w:pPr>
              <w:pStyle w:val="Tabel-BrdtekstmedafstandptekstGaramond"/>
            </w:pPr>
          </w:p>
          <w:p w:rsidR="004755BB" w:rsidRDefault="004755BB" w:rsidP="00A30ADC">
            <w:pPr>
              <w:pStyle w:val="Tabel-BrdtekstmedafstandptekstGaramond"/>
            </w:pPr>
          </w:p>
          <w:p w:rsidR="004755BB" w:rsidRDefault="004755BB" w:rsidP="00A30ADC">
            <w:pPr>
              <w:pStyle w:val="Tabel-BrdtekstmedafstandptekstGaramond"/>
            </w:pPr>
          </w:p>
          <w:p w:rsidR="004755BB" w:rsidRDefault="004755BB" w:rsidP="00A30ADC">
            <w:pPr>
              <w:pStyle w:val="Tabel-BrdtekstmedafstandptekstGaramond"/>
            </w:pPr>
          </w:p>
          <w:p w:rsidR="004755BB" w:rsidRDefault="004755BB" w:rsidP="00A30ADC">
            <w:pPr>
              <w:pStyle w:val="Tabel-BrdtekstmedafstandptekstGaramond"/>
            </w:pPr>
          </w:p>
          <w:p w:rsidR="004755BB" w:rsidRDefault="004755BB" w:rsidP="00A30ADC">
            <w:pPr>
              <w:pStyle w:val="Tabel-BrdtekstmedafstandptekstGaramond"/>
            </w:pPr>
          </w:p>
          <w:p w:rsidR="004755BB" w:rsidRDefault="004755BB" w:rsidP="00A30ADC">
            <w:pPr>
              <w:pStyle w:val="Tabel-BrdtekstmedafstandptekstGaramond"/>
            </w:pPr>
          </w:p>
          <w:p w:rsidR="004755BB" w:rsidRDefault="004755BB" w:rsidP="00A30ADC">
            <w:pPr>
              <w:pStyle w:val="Tabel-BrdtekstmedafstandptekstGaramond"/>
            </w:pPr>
          </w:p>
          <w:p w:rsidR="004755BB" w:rsidRDefault="004755BB" w:rsidP="00A30ADC">
            <w:pPr>
              <w:pStyle w:val="Tabel-BrdtekstmedafstandptekstGaramond"/>
            </w:pPr>
          </w:p>
          <w:p w:rsidR="004755BB" w:rsidRDefault="004755BB" w:rsidP="00A30ADC">
            <w:pPr>
              <w:pStyle w:val="Tabel-BrdtekstmedafstandptekstGaramond"/>
            </w:pPr>
          </w:p>
          <w:p w:rsidR="004755BB" w:rsidRDefault="004755BB" w:rsidP="00A30ADC">
            <w:pPr>
              <w:pStyle w:val="Tabel-BrdtekstmedafstandptekstGaramond"/>
            </w:pPr>
          </w:p>
          <w:p w:rsidR="004755BB" w:rsidRDefault="004755BB" w:rsidP="00A30ADC">
            <w:pPr>
              <w:pStyle w:val="Tabel-BrdtekstmedafstandptekstGaramond"/>
            </w:pPr>
          </w:p>
          <w:p w:rsidR="004755BB" w:rsidRDefault="004755BB" w:rsidP="00A30ADC">
            <w:pPr>
              <w:pStyle w:val="Tabel-BrdtekstmedafstandptekstGaramond"/>
            </w:pPr>
          </w:p>
          <w:p w:rsidR="004755BB" w:rsidRDefault="004755BB" w:rsidP="00A30ADC">
            <w:pPr>
              <w:pStyle w:val="Tabel-BrdtekstmedafstandptekstGaramond"/>
            </w:pPr>
          </w:p>
          <w:p w:rsidR="004755BB" w:rsidRDefault="004755BB" w:rsidP="00A30ADC">
            <w:pPr>
              <w:pStyle w:val="Tabel-BrdtekstmedafstandptekstGaramond"/>
            </w:pPr>
          </w:p>
          <w:p w:rsidR="00386E86" w:rsidRDefault="00386E86" w:rsidP="00A30ADC">
            <w:pPr>
              <w:pStyle w:val="Tabel-BrdtekstmedafstandptekstGaramond"/>
            </w:pPr>
          </w:p>
          <w:p w:rsidR="004755BB" w:rsidRDefault="004755BB" w:rsidP="00A30ADC">
            <w:pPr>
              <w:pStyle w:val="Tabel-BrdtekstmedafstandptekstGaramond"/>
            </w:pPr>
            <w:r>
              <w:t>Der henvises til kommentaren til CEPOS.</w:t>
            </w:r>
          </w:p>
          <w:p w:rsidR="00065144" w:rsidRDefault="00065144" w:rsidP="00A30ADC">
            <w:pPr>
              <w:pStyle w:val="Tabel-BrdtekstmedafstandptekstGaramond"/>
            </w:pPr>
          </w:p>
          <w:p w:rsidR="00065144" w:rsidRDefault="00065144" w:rsidP="00A30ADC">
            <w:pPr>
              <w:pStyle w:val="Tabel-BrdtekstmedafstandptekstGaramond"/>
            </w:pPr>
          </w:p>
          <w:p w:rsidR="00065144" w:rsidRDefault="00065144" w:rsidP="00A30ADC">
            <w:pPr>
              <w:pStyle w:val="Tabel-BrdtekstmedafstandptekstGaramond"/>
            </w:pPr>
          </w:p>
          <w:p w:rsidR="00065144" w:rsidRDefault="00065144" w:rsidP="00A30ADC">
            <w:pPr>
              <w:pStyle w:val="Tabel-BrdtekstmedafstandptekstGaramond"/>
            </w:pPr>
          </w:p>
          <w:p w:rsidR="00065144" w:rsidRDefault="00065144" w:rsidP="00A30ADC">
            <w:pPr>
              <w:pStyle w:val="Tabel-BrdtekstmedafstandptekstGaramond"/>
            </w:pPr>
          </w:p>
          <w:p w:rsidR="00065144" w:rsidRDefault="00065144" w:rsidP="00065144">
            <w:pPr>
              <w:pStyle w:val="Tabel-BrdtekstmedafstandptekstGaramond"/>
            </w:pPr>
            <w:r>
              <w:t xml:space="preserve">Der henvises til kommentarerne til Akademikerne og </w:t>
            </w:r>
            <w:r w:rsidRPr="00065144">
              <w:t>Danmarks Forsknings- og Innovationspol</w:t>
            </w:r>
            <w:r w:rsidRPr="00065144">
              <w:t>i</w:t>
            </w:r>
            <w:r>
              <w:t>tiske Råd.</w:t>
            </w:r>
          </w:p>
          <w:p w:rsidR="005C3903" w:rsidRDefault="005C3903" w:rsidP="00065144">
            <w:pPr>
              <w:pStyle w:val="Tabel-BrdtekstmedafstandptekstGaramond"/>
            </w:pPr>
          </w:p>
          <w:p w:rsidR="005C3903" w:rsidRDefault="005C3903" w:rsidP="00065144">
            <w:pPr>
              <w:pStyle w:val="Tabel-BrdtekstmedafstandptekstGaramond"/>
            </w:pPr>
          </w:p>
          <w:p w:rsidR="005C3903" w:rsidRDefault="005C3903" w:rsidP="00065144">
            <w:pPr>
              <w:pStyle w:val="Tabel-BrdtekstmedafstandptekstGaramond"/>
            </w:pPr>
          </w:p>
          <w:p w:rsidR="005C3903" w:rsidRDefault="005C3903" w:rsidP="00065144">
            <w:pPr>
              <w:pStyle w:val="Tabel-BrdtekstmedafstandptekstGaramond"/>
            </w:pPr>
          </w:p>
          <w:p w:rsidR="005C3903" w:rsidRDefault="005C3903" w:rsidP="00065144">
            <w:pPr>
              <w:pStyle w:val="Tabel-BrdtekstmedafstandptekstGaramond"/>
            </w:pPr>
          </w:p>
          <w:p w:rsidR="005C3903" w:rsidRDefault="005C3903" w:rsidP="00065144">
            <w:pPr>
              <w:pStyle w:val="Tabel-BrdtekstmedafstandptekstGaramond"/>
            </w:pPr>
          </w:p>
          <w:p w:rsidR="005C3903" w:rsidRDefault="005C3903" w:rsidP="00065144">
            <w:pPr>
              <w:pStyle w:val="Tabel-BrdtekstmedafstandptekstGaramond"/>
            </w:pPr>
          </w:p>
          <w:p w:rsidR="005C3903" w:rsidRDefault="005C3903" w:rsidP="00065144">
            <w:pPr>
              <w:pStyle w:val="Tabel-BrdtekstmedafstandptekstGaramond"/>
            </w:pPr>
          </w:p>
          <w:p w:rsidR="005C3903" w:rsidRDefault="005C3903" w:rsidP="00065144">
            <w:pPr>
              <w:pStyle w:val="Tabel-BrdtekstmedafstandptekstGaramond"/>
            </w:pPr>
          </w:p>
          <w:p w:rsidR="005C3903" w:rsidRDefault="005C3903" w:rsidP="00065144">
            <w:pPr>
              <w:pStyle w:val="Tabel-BrdtekstmedafstandptekstGaramond"/>
            </w:pPr>
          </w:p>
          <w:p w:rsidR="005C3903" w:rsidRDefault="005C3903" w:rsidP="00065144">
            <w:pPr>
              <w:pStyle w:val="Tabel-BrdtekstmedafstandptekstGaramond"/>
            </w:pPr>
          </w:p>
          <w:p w:rsidR="005C3903" w:rsidRDefault="005C3903" w:rsidP="00065144">
            <w:pPr>
              <w:pStyle w:val="Tabel-BrdtekstmedafstandptekstGaramond"/>
            </w:pPr>
          </w:p>
          <w:p w:rsidR="005C3903" w:rsidRDefault="005C3903" w:rsidP="00065144">
            <w:pPr>
              <w:pStyle w:val="Tabel-BrdtekstmedafstandptekstGaramond"/>
            </w:pPr>
          </w:p>
          <w:p w:rsidR="005C3903" w:rsidRDefault="005C3903" w:rsidP="00065144">
            <w:pPr>
              <w:pStyle w:val="Tabel-BrdtekstmedafstandptekstGaramond"/>
            </w:pPr>
          </w:p>
          <w:p w:rsidR="005C3903" w:rsidRDefault="005C3903" w:rsidP="00065144">
            <w:pPr>
              <w:pStyle w:val="Tabel-BrdtekstmedafstandptekstGaramond"/>
            </w:pPr>
          </w:p>
          <w:p w:rsidR="005C3903" w:rsidRDefault="005C3903" w:rsidP="00065144">
            <w:pPr>
              <w:pStyle w:val="Tabel-BrdtekstmedafstandptekstGaramond"/>
            </w:pPr>
          </w:p>
          <w:p w:rsidR="005C3903" w:rsidRDefault="005C3903" w:rsidP="00065144">
            <w:pPr>
              <w:pStyle w:val="Tabel-BrdtekstmedafstandptekstGaramond"/>
            </w:pPr>
          </w:p>
          <w:p w:rsidR="005C3903" w:rsidRDefault="005C3903" w:rsidP="00065144">
            <w:pPr>
              <w:pStyle w:val="Tabel-BrdtekstmedafstandptekstGaramond"/>
            </w:pPr>
          </w:p>
          <w:p w:rsidR="005C3903" w:rsidRDefault="005C3903" w:rsidP="00065144">
            <w:pPr>
              <w:pStyle w:val="Tabel-BrdtekstmedafstandptekstGaramond"/>
            </w:pPr>
          </w:p>
          <w:p w:rsidR="005C3903" w:rsidRDefault="005C3903" w:rsidP="00065144">
            <w:pPr>
              <w:pStyle w:val="Tabel-BrdtekstmedafstandptekstGaramond"/>
            </w:pPr>
          </w:p>
          <w:p w:rsidR="005C3903" w:rsidRDefault="005C3903" w:rsidP="00065144">
            <w:pPr>
              <w:pStyle w:val="Tabel-BrdtekstmedafstandptekstGaramond"/>
            </w:pPr>
          </w:p>
          <w:p w:rsidR="005C3903" w:rsidRDefault="005C3903" w:rsidP="00065144">
            <w:pPr>
              <w:pStyle w:val="Tabel-BrdtekstmedafstandptekstGaramond"/>
            </w:pPr>
          </w:p>
          <w:p w:rsidR="005C3903" w:rsidRDefault="005C3903" w:rsidP="00065144">
            <w:pPr>
              <w:pStyle w:val="Tabel-BrdtekstmedafstandptekstGaramond"/>
            </w:pPr>
          </w:p>
          <w:p w:rsidR="005C3903" w:rsidRDefault="005C3903" w:rsidP="00065144">
            <w:pPr>
              <w:pStyle w:val="Tabel-BrdtekstmedafstandptekstGaramond"/>
            </w:pPr>
          </w:p>
          <w:p w:rsidR="005C3903" w:rsidRDefault="005C3903" w:rsidP="00065144">
            <w:pPr>
              <w:pStyle w:val="Tabel-BrdtekstmedafstandptekstGaramond"/>
            </w:pPr>
          </w:p>
          <w:p w:rsidR="008C4135" w:rsidRDefault="008C4135" w:rsidP="008C4135">
            <w:pPr>
              <w:pStyle w:val="Tabel-BrdtekstmedafstandptekstGaramond"/>
            </w:pPr>
            <w:r>
              <w:t>Der henvises til kommentaren til Carlsbergfondet, hvor det er b</w:t>
            </w:r>
            <w:r>
              <w:t>e</w:t>
            </w:r>
            <w:r>
              <w:t xml:space="preserve">skrevet, at </w:t>
            </w:r>
            <w:r w:rsidR="00A76498">
              <w:t>der vil blive</w:t>
            </w:r>
            <w:r>
              <w:t xml:space="preserve"> stille</w:t>
            </w:r>
            <w:r w:rsidR="00A76498">
              <w:t>t et</w:t>
            </w:r>
            <w:r>
              <w:t xml:space="preserve"> ændringsforslag </w:t>
            </w:r>
            <w:r w:rsidRPr="002963C0">
              <w:t>vedrørende fo</w:t>
            </w:r>
            <w:r w:rsidRPr="002963C0">
              <w:t>r</w:t>
            </w:r>
            <w:r w:rsidRPr="002963C0">
              <w:lastRenderedPageBreak/>
              <w:t>slaget til virkningstidspunkt for ophævelsen af konsolidering</w:t>
            </w:r>
            <w:r w:rsidRPr="002963C0">
              <w:t>s</w:t>
            </w:r>
            <w:r w:rsidRPr="002963C0">
              <w:t>reglen.</w:t>
            </w:r>
          </w:p>
          <w:p w:rsidR="00FE41E8" w:rsidRDefault="00FE41E8" w:rsidP="008C4135">
            <w:pPr>
              <w:pStyle w:val="Tabel-BrdtekstmedafstandptekstGaramond"/>
            </w:pPr>
          </w:p>
          <w:p w:rsidR="00FE41E8" w:rsidRDefault="00FE41E8" w:rsidP="008C4135">
            <w:pPr>
              <w:pStyle w:val="Tabel-BrdtekstmedafstandptekstGaramond"/>
            </w:pPr>
          </w:p>
          <w:p w:rsidR="00FE41E8" w:rsidRDefault="00FE41E8" w:rsidP="008C4135">
            <w:pPr>
              <w:pStyle w:val="Tabel-BrdtekstmedafstandptekstGaramond"/>
            </w:pPr>
          </w:p>
          <w:p w:rsidR="00FE41E8" w:rsidRDefault="00FE41E8" w:rsidP="008C4135">
            <w:pPr>
              <w:pStyle w:val="Tabel-BrdtekstmedafstandptekstGaramond"/>
            </w:pPr>
          </w:p>
          <w:p w:rsidR="00FE41E8" w:rsidRDefault="00FE41E8" w:rsidP="008C4135">
            <w:pPr>
              <w:pStyle w:val="Tabel-BrdtekstmedafstandptekstGaramond"/>
            </w:pPr>
          </w:p>
          <w:p w:rsidR="00FE41E8" w:rsidRDefault="00FE41E8" w:rsidP="008C4135">
            <w:pPr>
              <w:pStyle w:val="Tabel-BrdtekstmedafstandptekstGaramond"/>
            </w:pPr>
          </w:p>
          <w:p w:rsidR="00FE41E8" w:rsidRDefault="00FE41E8" w:rsidP="008C4135">
            <w:pPr>
              <w:pStyle w:val="Tabel-BrdtekstmedafstandptekstGaramond"/>
            </w:pPr>
          </w:p>
          <w:p w:rsidR="00FE41E8" w:rsidRDefault="00FE41E8" w:rsidP="008C4135">
            <w:pPr>
              <w:pStyle w:val="Tabel-BrdtekstmedafstandptekstGaramond"/>
            </w:pPr>
          </w:p>
          <w:p w:rsidR="009B55FB" w:rsidRDefault="009B55FB" w:rsidP="00FE41E8">
            <w:pPr>
              <w:pStyle w:val="Tabel-BrdtekstmedafstandptekstGaramond"/>
            </w:pPr>
          </w:p>
          <w:p w:rsidR="00FE41E8" w:rsidRDefault="001C4C7A" w:rsidP="00FE41E8">
            <w:pPr>
              <w:pStyle w:val="Tabel-BrdtekstmedafstandptekstGaramond"/>
            </w:pPr>
            <w:r>
              <w:t xml:space="preserve">Regeringen </w:t>
            </w:r>
            <w:r w:rsidR="00DF4672">
              <w:t xml:space="preserve">vil </w:t>
            </w:r>
            <w:r w:rsidR="00FE41E8">
              <w:t>til 2. behandli</w:t>
            </w:r>
            <w:r w:rsidR="00FE41E8">
              <w:t>n</w:t>
            </w:r>
            <w:r w:rsidR="00FE41E8">
              <w:t>gen af lovforslaget</w:t>
            </w:r>
            <w:r w:rsidR="00DF4672">
              <w:t xml:space="preserve"> </w:t>
            </w:r>
            <w:r w:rsidR="00FE41E8">
              <w:t>stille</w:t>
            </w:r>
            <w:r w:rsidR="00DF4672">
              <w:t xml:space="preserve"> et</w:t>
            </w:r>
            <w:r w:rsidR="00FE41E8">
              <w:t xml:space="preserve"> æ</w:t>
            </w:r>
            <w:r w:rsidR="00FE41E8">
              <w:t>n</w:t>
            </w:r>
            <w:r w:rsidR="00FE41E8">
              <w:t xml:space="preserve">dringsforslag </w:t>
            </w:r>
            <w:r w:rsidR="00FE41E8" w:rsidRPr="001465F2">
              <w:t>om, at den foresl</w:t>
            </w:r>
            <w:r w:rsidR="00FE41E8" w:rsidRPr="001465F2">
              <w:t>å</w:t>
            </w:r>
            <w:r w:rsidR="00FE41E8" w:rsidRPr="001465F2">
              <w:t>ede ophævelse af overførselsre</w:t>
            </w:r>
            <w:r w:rsidR="00FE41E8" w:rsidRPr="001465F2">
              <w:t>g</w:t>
            </w:r>
            <w:r w:rsidR="00FE41E8" w:rsidRPr="001465F2">
              <w:t>len udgår af forslaget</w:t>
            </w:r>
            <w:r w:rsidR="00FE41E8">
              <w:t xml:space="preserve">. </w:t>
            </w:r>
          </w:p>
          <w:p w:rsidR="00FE41E8" w:rsidRDefault="00FE41E8" w:rsidP="00FE41E8">
            <w:pPr>
              <w:pStyle w:val="Tabel-BrdtekstmedafstandptekstGaramond"/>
            </w:pPr>
          </w:p>
          <w:p w:rsidR="00FE41E8" w:rsidRDefault="00FE41E8" w:rsidP="00FE41E8">
            <w:pPr>
              <w:pStyle w:val="Tabel-BrdtekstmedafstandptekstGaramond"/>
            </w:pPr>
            <w:r>
              <w:t xml:space="preserve">Baggrunden herfor er nærmere beskrevet i kommentaren til </w:t>
            </w:r>
            <w:r w:rsidRPr="001465F2">
              <w:t>D</w:t>
            </w:r>
            <w:r w:rsidRPr="001465F2">
              <w:t>e</w:t>
            </w:r>
            <w:r w:rsidRPr="001465F2">
              <w:t>loitte, EY, KPMG og PwC</w:t>
            </w:r>
            <w:r>
              <w:t>.</w:t>
            </w:r>
          </w:p>
          <w:p w:rsidR="005C3903" w:rsidRDefault="005C3903"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0C5EE1" w:rsidRDefault="000C5EE1" w:rsidP="00065144">
            <w:pPr>
              <w:pStyle w:val="Tabel-BrdtekstmedafstandptekstGaramond"/>
            </w:pPr>
          </w:p>
          <w:p w:rsidR="005F1437" w:rsidRDefault="005F1437" w:rsidP="00065144">
            <w:pPr>
              <w:pStyle w:val="Tabel-BrdtekstmedafstandptekstGaramond"/>
            </w:pPr>
          </w:p>
          <w:p w:rsidR="000C5EE1" w:rsidRDefault="000C5EE1" w:rsidP="00065144">
            <w:pPr>
              <w:pStyle w:val="Tabel-BrdtekstmedafstandptekstGaramond"/>
            </w:pPr>
            <w:r>
              <w:t>Det anførte giver ikke anledning til en ændring af prioritering</w:t>
            </w:r>
            <w:r>
              <w:t>s</w:t>
            </w:r>
            <w:r>
              <w:t xml:space="preserve">reglen i fondsbeskatningslovens § 6. </w:t>
            </w:r>
          </w:p>
          <w:p w:rsidR="000C5EE1" w:rsidRDefault="000C5EE1" w:rsidP="00065144">
            <w:pPr>
              <w:pStyle w:val="Tabel-BrdtekstmedafstandptekstGaramond"/>
            </w:pPr>
          </w:p>
          <w:p w:rsidR="000C5EE1" w:rsidRDefault="000C5EE1" w:rsidP="000C5EE1">
            <w:pPr>
              <w:pStyle w:val="Tabel-BrdtekstmedafstandptekstGaramond"/>
            </w:pPr>
            <w:r>
              <w:t xml:space="preserve">Til argumentet om, at </w:t>
            </w:r>
            <w:r w:rsidRPr="00F20DB7">
              <w:t xml:space="preserve">fondenes mulighed for at anvende </w:t>
            </w:r>
            <w:r>
              <w:t>ove</w:t>
            </w:r>
            <w:r>
              <w:t>r</w:t>
            </w:r>
            <w:r>
              <w:t>førsels</w:t>
            </w:r>
            <w:r w:rsidRPr="00F20DB7">
              <w:t xml:space="preserve">reglen </w:t>
            </w:r>
            <w:r w:rsidR="002460CF">
              <w:t xml:space="preserve">hidtil </w:t>
            </w:r>
            <w:r w:rsidRPr="00F20DB7">
              <w:t xml:space="preserve">delvist </w:t>
            </w:r>
            <w:r>
              <w:t xml:space="preserve">har </w:t>
            </w:r>
            <w:r w:rsidRPr="00F20DB7">
              <w:t>afbøde</w:t>
            </w:r>
            <w:r w:rsidR="002460CF">
              <w:t>t</w:t>
            </w:r>
            <w:r w:rsidRPr="00F20DB7">
              <w:t xml:space="preserve"> </w:t>
            </w:r>
            <w:r>
              <w:t xml:space="preserve">den </w:t>
            </w:r>
            <w:r w:rsidRPr="00F20DB7">
              <w:t>dobbeltbeskatnin</w:t>
            </w:r>
            <w:r>
              <w:t>g, der an</w:t>
            </w:r>
            <w:r w:rsidR="002460CF">
              <w:t>gives</w:t>
            </w:r>
            <w:r>
              <w:t xml:space="preserve"> at finde sted i me</w:t>
            </w:r>
            <w:r>
              <w:t>d</w:t>
            </w:r>
            <w:r>
              <w:t xml:space="preserve">før af prioriteringsreglen, </w:t>
            </w:r>
            <w:r w:rsidR="002460CF">
              <w:t>b</w:t>
            </w:r>
            <w:r w:rsidR="002460CF">
              <w:t>e</w:t>
            </w:r>
            <w:r w:rsidR="002460CF">
              <w:t xml:space="preserve">mærkes, at </w:t>
            </w:r>
            <w:r w:rsidR="009441F7">
              <w:t xml:space="preserve">regeringen </w:t>
            </w:r>
            <w:r w:rsidR="00B7397C">
              <w:t>til 2. b</w:t>
            </w:r>
            <w:r w:rsidR="00B7397C">
              <w:t>e</w:t>
            </w:r>
            <w:r w:rsidR="00B7397C">
              <w:t xml:space="preserve">handlingen af lovforslaget </w:t>
            </w:r>
            <w:r w:rsidR="002460CF">
              <w:t xml:space="preserve">vil stille </w:t>
            </w:r>
            <w:r w:rsidR="00B7397C">
              <w:t xml:space="preserve">et </w:t>
            </w:r>
            <w:r w:rsidR="002460CF">
              <w:t>ændringsforslag, der b</w:t>
            </w:r>
            <w:r w:rsidR="002460CF">
              <w:t>e</w:t>
            </w:r>
            <w:r w:rsidR="002460CF">
              <w:t>virker, at overførselsreglen o</w:t>
            </w:r>
            <w:r w:rsidR="002460CF">
              <w:t>p</w:t>
            </w:r>
            <w:r w:rsidR="002460CF">
              <w:t>retholdes.</w:t>
            </w:r>
          </w:p>
          <w:p w:rsidR="000C5EE1" w:rsidRPr="00B5346F" w:rsidRDefault="000C5EE1" w:rsidP="000C5EE1">
            <w:pPr>
              <w:pStyle w:val="Tabel-BrdtekstmedafstandptekstGaramond"/>
            </w:pPr>
          </w:p>
        </w:tc>
      </w:tr>
      <w:tr w:rsidR="002243D1" w:rsidRPr="00B5346F" w:rsidTr="00C87589">
        <w:tc>
          <w:tcPr>
            <w:tcW w:w="2653" w:type="dxa"/>
            <w:tcBorders>
              <w:top w:val="single" w:sz="4" w:space="0" w:color="D1C5C3" w:themeColor="accent3"/>
              <w:bottom w:val="single" w:sz="4" w:space="0" w:color="D1C5C3" w:themeColor="accent3"/>
            </w:tcBorders>
            <w:shd w:val="clear" w:color="auto" w:fill="FBF9F9"/>
          </w:tcPr>
          <w:p w:rsidR="002243D1" w:rsidRDefault="002243D1" w:rsidP="009A36E0">
            <w:pPr>
              <w:pStyle w:val="Tabel-BrdtekstmedafstandptekstGaramond"/>
            </w:pPr>
            <w:r>
              <w:rPr>
                <w:i/>
              </w:rPr>
              <w:lastRenderedPageBreak/>
              <w:t xml:space="preserve">DIF </w:t>
            </w:r>
          </w:p>
          <w:p w:rsidR="002243D1" w:rsidRPr="002243D1" w:rsidRDefault="002243D1" w:rsidP="009A36E0">
            <w:pPr>
              <w:pStyle w:val="Tabel-BrdtekstmedafstandptekstGaramond"/>
              <w:rPr>
                <w:i/>
              </w:rPr>
            </w:pPr>
            <w:r w:rsidRPr="002243D1">
              <w:rPr>
                <w:i/>
              </w:rPr>
              <w:t>DGI</w:t>
            </w:r>
          </w:p>
        </w:tc>
        <w:tc>
          <w:tcPr>
            <w:tcW w:w="194" w:type="dxa"/>
            <w:shd w:val="clear" w:color="auto" w:fill="FFFFFF" w:themeFill="background1"/>
          </w:tcPr>
          <w:p w:rsidR="002243D1" w:rsidRPr="00B5346F" w:rsidRDefault="002243D1" w:rsidP="00122C71"/>
        </w:tc>
        <w:tc>
          <w:tcPr>
            <w:tcW w:w="3324" w:type="dxa"/>
            <w:tcBorders>
              <w:top w:val="single" w:sz="4" w:space="0" w:color="D1C5C3" w:themeColor="accent3"/>
              <w:bottom w:val="single" w:sz="4" w:space="0" w:color="D1C5C3" w:themeColor="accent3"/>
            </w:tcBorders>
            <w:shd w:val="clear" w:color="auto" w:fill="FBF9F9"/>
          </w:tcPr>
          <w:p w:rsidR="002243D1" w:rsidRDefault="002243D1" w:rsidP="002C475A">
            <w:pPr>
              <w:pStyle w:val="Tabel-BrdtekstmedafstandptekstGaramond"/>
            </w:pPr>
            <w:r>
              <w:t>DIF og DGI vurderer, at lo</w:t>
            </w:r>
            <w:r>
              <w:t>v</w:t>
            </w:r>
            <w:r>
              <w:t xml:space="preserve">forslaget vil </w:t>
            </w:r>
            <w:r w:rsidRPr="00BD1CDD">
              <w:t>få mærkbare kons</w:t>
            </w:r>
            <w:r w:rsidRPr="00BD1CDD">
              <w:t>e</w:t>
            </w:r>
            <w:r w:rsidRPr="00BD1CDD">
              <w:t>kvense</w:t>
            </w:r>
            <w:r>
              <w:t>r for hele det danske fo</w:t>
            </w:r>
            <w:r>
              <w:t>r</w:t>
            </w:r>
            <w:r w:rsidRPr="00BD1CDD">
              <w:t>enings</w:t>
            </w:r>
            <w:r>
              <w:t>liv. Det anføres i den fo</w:t>
            </w:r>
            <w:r>
              <w:t>r</w:t>
            </w:r>
            <w:r>
              <w:t>bindelse, at fonde er med til at styrke arbejdet p</w:t>
            </w:r>
            <w:r w:rsidRPr="00BD1CDD">
              <w:t>å alle niveauer i dansk idræt</w:t>
            </w:r>
            <w:r>
              <w:t xml:space="preserve">, ikke blot i </w:t>
            </w:r>
            <w:r w:rsidRPr="00BD1CDD">
              <w:t>DIF og DGI</w:t>
            </w:r>
            <w:r>
              <w:t>, men også</w:t>
            </w:r>
            <w:r w:rsidRPr="00BD1CDD">
              <w:t xml:space="preserve"> </w:t>
            </w:r>
            <w:r>
              <w:t>i</w:t>
            </w:r>
            <w:r w:rsidRPr="00BD1CDD">
              <w:t xml:space="preserve"> specialforbu</w:t>
            </w:r>
            <w:r w:rsidRPr="00BD1CDD">
              <w:t>n</w:t>
            </w:r>
            <w:r w:rsidRPr="00BD1CDD">
              <w:t>d</w:t>
            </w:r>
            <w:r>
              <w:t>ene</w:t>
            </w:r>
            <w:r w:rsidRPr="00BD1CDD">
              <w:t>, landsdelsforeninger</w:t>
            </w:r>
            <w:r>
              <w:t>ne</w:t>
            </w:r>
            <w:r w:rsidRPr="00BD1CDD">
              <w:t xml:space="preserve"> og </w:t>
            </w:r>
            <w:r>
              <w:t xml:space="preserve">de enkelte </w:t>
            </w:r>
            <w:r w:rsidRPr="00BD1CDD">
              <w:t xml:space="preserve">klubber. </w:t>
            </w:r>
          </w:p>
          <w:p w:rsidR="002C475A" w:rsidRDefault="002C475A" w:rsidP="002C475A">
            <w:pPr>
              <w:pStyle w:val="Tabel-BrdtekstmedafstandptekstGaramond"/>
            </w:pPr>
          </w:p>
          <w:p w:rsidR="002243D1" w:rsidRDefault="002243D1" w:rsidP="002C475A">
            <w:pPr>
              <w:pStyle w:val="Tabel-BrdtekstmedafstandptekstGaramond"/>
            </w:pPr>
            <w:r>
              <w:t xml:space="preserve">Som et eksempel nævnes de to foreningers fælles vision </w:t>
            </w:r>
            <w:r w:rsidRPr="00C47ED2">
              <w:rPr>
                <w:i/>
              </w:rPr>
              <w:t>Bevæg dig for livet</w:t>
            </w:r>
            <w:r>
              <w:t xml:space="preserve">, der er </w:t>
            </w:r>
            <w:r w:rsidRPr="00C47ED2">
              <w:t>den hidtil største partnerskabsaftale i dansk idræts historie</w:t>
            </w:r>
            <w:r>
              <w:t xml:space="preserve">, og hvis mål er, at </w:t>
            </w:r>
            <w:r w:rsidRPr="00C47ED2">
              <w:t xml:space="preserve">600.000 flere danskere skal dyrke idræt i 2025. </w:t>
            </w:r>
            <w:r>
              <w:t>DIF og DGI har modtaget betydelige bidrag fra en række almennyttige fonde til at realisere visionen, men de to fo</w:t>
            </w:r>
            <w:r>
              <w:t>r</w:t>
            </w:r>
            <w:r>
              <w:t xml:space="preserve">eninger frygter nu, at lovforslaget vil </w:t>
            </w:r>
            <w:r w:rsidRPr="00C47ED2">
              <w:t>indskrænke fonde</w:t>
            </w:r>
            <w:r>
              <w:t>ne</w:t>
            </w:r>
            <w:r w:rsidRPr="00C47ED2">
              <w:t>s muli</w:t>
            </w:r>
            <w:r w:rsidRPr="00C47ED2">
              <w:t>g</w:t>
            </w:r>
            <w:r w:rsidRPr="00C47ED2">
              <w:t>heder for fortsat at involvere sig.</w:t>
            </w:r>
          </w:p>
          <w:p w:rsidR="002243D1" w:rsidRPr="00BD1CDD" w:rsidRDefault="002243D1" w:rsidP="002C475A">
            <w:pPr>
              <w:pStyle w:val="Tabel-BrdtekstmedafstandptekstGaramond"/>
            </w:pPr>
          </w:p>
          <w:p w:rsidR="002243D1" w:rsidRDefault="002243D1" w:rsidP="002C475A">
            <w:pPr>
              <w:pStyle w:val="Tabel-BrdtekstmedafstandptekstGaramond"/>
            </w:pPr>
            <w:r>
              <w:t>De to foreninger bemærker de</w:t>
            </w:r>
            <w:r>
              <w:t>s</w:t>
            </w:r>
            <w:r>
              <w:lastRenderedPageBreak/>
              <w:t>uden, at visionen</w:t>
            </w:r>
            <w:r w:rsidRPr="00BD1CDD">
              <w:t xml:space="preserve"> af et enigt Fo</w:t>
            </w:r>
            <w:r w:rsidRPr="00BD1CDD">
              <w:t>l</w:t>
            </w:r>
            <w:r w:rsidRPr="00BD1CDD">
              <w:t xml:space="preserve">keting </w:t>
            </w:r>
            <w:r>
              <w:t xml:space="preserve">blev </w:t>
            </w:r>
            <w:r w:rsidRPr="00BD1CDD">
              <w:t xml:space="preserve">indskrevet i den </w:t>
            </w:r>
            <w:r>
              <w:t>idrætspolitiske</w:t>
            </w:r>
            <w:r w:rsidRPr="00BD1CDD">
              <w:t xml:space="preserve"> stemmeaftale</w:t>
            </w:r>
            <w:r>
              <w:t xml:space="preserve"> fra 2014 </w:t>
            </w:r>
            <w:r w:rsidRPr="00BD1CDD">
              <w:t xml:space="preserve">om idrættens økonomi og struktur, </w:t>
            </w:r>
            <w:r>
              <w:t xml:space="preserve">ligesom visionen er en del af regeringsgrundlaget. </w:t>
            </w:r>
            <w:r w:rsidRPr="00BD1CDD">
              <w:t xml:space="preserve">På den baggrund </w:t>
            </w:r>
            <w:r>
              <w:t>er det efter fo</w:t>
            </w:r>
            <w:r>
              <w:t>r</w:t>
            </w:r>
            <w:r>
              <w:t>eningernes opfattelse</w:t>
            </w:r>
            <w:r w:rsidRPr="00BD1CDD">
              <w:t xml:space="preserve"> besynde</w:t>
            </w:r>
            <w:r w:rsidRPr="00BD1CDD">
              <w:t>r</w:t>
            </w:r>
            <w:r>
              <w:t>ligt, at mu</w:t>
            </w:r>
            <w:r w:rsidRPr="00BD1CDD">
              <w:t>ligheden for at realisere visionen nu indskrænkes, ikke mindst fordi idræts</w:t>
            </w:r>
            <w:r>
              <w:t>organisati</w:t>
            </w:r>
            <w:r>
              <w:t>o</w:t>
            </w:r>
            <w:r>
              <w:t>ner</w:t>
            </w:r>
            <w:r w:rsidRPr="00BD1CDD">
              <w:t xml:space="preserve">nes finansiering via </w:t>
            </w:r>
            <w:r>
              <w:t>fonds</w:t>
            </w:r>
            <w:r w:rsidRPr="00BD1CDD">
              <w:t>mi</w:t>
            </w:r>
            <w:r w:rsidRPr="00BD1CDD">
              <w:t>d</w:t>
            </w:r>
            <w:r w:rsidRPr="00BD1CDD">
              <w:t xml:space="preserve">ler i forvejen er faldende og fremtiden stærkt usikker. </w:t>
            </w:r>
          </w:p>
          <w:p w:rsidR="002C475A" w:rsidRPr="00BD1CDD" w:rsidRDefault="002C475A" w:rsidP="002C475A">
            <w:pPr>
              <w:pStyle w:val="Tabel-BrdtekstmedafstandptekstGaramond"/>
            </w:pPr>
          </w:p>
          <w:p w:rsidR="002243D1" w:rsidRPr="00B5346F" w:rsidRDefault="002243D1" w:rsidP="002243D1">
            <w:pPr>
              <w:pStyle w:val="Tabel-BrdtekstmedafstandptekstGaramond"/>
            </w:pPr>
            <w:r>
              <w:t xml:space="preserve">DIF og DGI anmoder på den baggrund om, at </w:t>
            </w:r>
            <w:r w:rsidRPr="00BD1CDD">
              <w:t xml:space="preserve">partierne bag </w:t>
            </w:r>
            <w:r>
              <w:t>stemme</w:t>
            </w:r>
            <w:r w:rsidRPr="00BD1CDD">
              <w:t xml:space="preserve">aftalen </w:t>
            </w:r>
            <w:r>
              <w:t xml:space="preserve">2014 </w:t>
            </w:r>
            <w:r w:rsidRPr="00BD1CDD">
              <w:t>genoverveje</w:t>
            </w:r>
            <w:r>
              <w:t>r</w:t>
            </w:r>
            <w:r w:rsidRPr="00BD1CDD">
              <w:t xml:space="preserve"> netop dette element i aftalen.</w:t>
            </w:r>
          </w:p>
        </w:tc>
        <w:tc>
          <w:tcPr>
            <w:tcW w:w="209" w:type="dxa"/>
            <w:shd w:val="clear" w:color="auto" w:fill="FFFFFF" w:themeFill="background1"/>
          </w:tcPr>
          <w:p w:rsidR="002243D1" w:rsidRPr="00B5346F" w:rsidRDefault="002243D1" w:rsidP="00122C71"/>
        </w:tc>
        <w:tc>
          <w:tcPr>
            <w:tcW w:w="3259" w:type="dxa"/>
            <w:tcBorders>
              <w:top w:val="single" w:sz="4" w:space="0" w:color="14143C" w:themeColor="accent1"/>
              <w:bottom w:val="single" w:sz="4" w:space="0" w:color="14143C" w:themeColor="accent1"/>
            </w:tcBorders>
            <w:shd w:val="clear" w:color="auto" w:fill="D2CED8"/>
          </w:tcPr>
          <w:p w:rsidR="002243D1" w:rsidRPr="00B5346F" w:rsidRDefault="00FC4581" w:rsidP="00122C71">
            <w:pPr>
              <w:pStyle w:val="Tabel-BrdtekstmedafstandptekstGaramond"/>
            </w:pPr>
            <w:r>
              <w:t>Der henvises til kommentarerne til Akademikerne og CEPOS.</w:t>
            </w:r>
          </w:p>
        </w:tc>
      </w:tr>
      <w:tr w:rsidR="009A36E0" w:rsidRPr="00B5346F" w:rsidTr="00C87589">
        <w:tc>
          <w:tcPr>
            <w:tcW w:w="2653" w:type="dxa"/>
            <w:tcBorders>
              <w:top w:val="single" w:sz="4" w:space="0" w:color="D1C5C3" w:themeColor="accent3"/>
              <w:bottom w:val="single" w:sz="4" w:space="0" w:color="D1C5C3" w:themeColor="accent3"/>
            </w:tcBorders>
            <w:shd w:val="clear" w:color="auto" w:fill="FBF9F9"/>
          </w:tcPr>
          <w:p w:rsidR="00C0001A" w:rsidRPr="00600E3E" w:rsidRDefault="009A36E0" w:rsidP="009A36E0">
            <w:pPr>
              <w:pStyle w:val="Tabel-BrdtekstmedafstandptekstGaramond"/>
              <w:rPr>
                <w:i/>
              </w:rPr>
            </w:pPr>
            <w:r>
              <w:rPr>
                <w:i/>
              </w:rPr>
              <w:lastRenderedPageBreak/>
              <w:t>Ejerlederne</w:t>
            </w:r>
          </w:p>
        </w:tc>
        <w:tc>
          <w:tcPr>
            <w:tcW w:w="194" w:type="dxa"/>
            <w:shd w:val="clear" w:color="auto" w:fill="FFFFFF" w:themeFill="background1"/>
          </w:tcPr>
          <w:p w:rsidR="00C0001A" w:rsidRPr="00B5346F" w:rsidRDefault="00C0001A" w:rsidP="00122C71"/>
        </w:tc>
        <w:tc>
          <w:tcPr>
            <w:tcW w:w="3324" w:type="dxa"/>
            <w:tcBorders>
              <w:top w:val="single" w:sz="4" w:space="0" w:color="D1C5C3" w:themeColor="accent3"/>
              <w:bottom w:val="single" w:sz="4" w:space="0" w:color="D1C5C3" w:themeColor="accent3"/>
            </w:tcBorders>
            <w:shd w:val="clear" w:color="auto" w:fill="FBF9F9"/>
          </w:tcPr>
          <w:p w:rsidR="00C0001A" w:rsidRPr="00B5346F" w:rsidRDefault="00B90C90" w:rsidP="00B90C90">
            <w:pPr>
              <w:pStyle w:val="Tabel-BrdtekstmedafstandptekstGaramond"/>
            </w:pPr>
            <w:r>
              <w:t>Ejerlederne h</w:t>
            </w:r>
            <w:r w:rsidR="00DB03FB">
              <w:t>ar ingen bemær</w:t>
            </w:r>
            <w:r w:rsidR="00DB03FB">
              <w:t>k</w:t>
            </w:r>
            <w:r w:rsidR="00DB03FB">
              <w:t>ninger til lovforslaget.</w:t>
            </w:r>
          </w:p>
        </w:tc>
        <w:tc>
          <w:tcPr>
            <w:tcW w:w="209" w:type="dxa"/>
            <w:shd w:val="clear" w:color="auto" w:fill="FFFFFF" w:themeFill="background1"/>
          </w:tcPr>
          <w:p w:rsidR="00C0001A" w:rsidRPr="00B5346F" w:rsidRDefault="00C0001A" w:rsidP="00122C71"/>
        </w:tc>
        <w:tc>
          <w:tcPr>
            <w:tcW w:w="3259" w:type="dxa"/>
            <w:tcBorders>
              <w:top w:val="single" w:sz="4" w:space="0" w:color="14143C" w:themeColor="accent1"/>
              <w:bottom w:val="single" w:sz="4" w:space="0" w:color="14143C" w:themeColor="accent1"/>
            </w:tcBorders>
            <w:shd w:val="clear" w:color="auto" w:fill="D2CED8"/>
          </w:tcPr>
          <w:p w:rsidR="00C0001A" w:rsidRPr="00B5346F" w:rsidRDefault="00C0001A" w:rsidP="00122C71">
            <w:pPr>
              <w:pStyle w:val="Tabel-BrdtekstmedafstandptekstGaramond"/>
            </w:pPr>
          </w:p>
        </w:tc>
      </w:tr>
      <w:tr w:rsidR="009A36E0" w:rsidRPr="00B5346F" w:rsidTr="00C87589">
        <w:tc>
          <w:tcPr>
            <w:tcW w:w="2653" w:type="dxa"/>
            <w:tcBorders>
              <w:top w:val="single" w:sz="4" w:space="0" w:color="D1C5C3" w:themeColor="accent3"/>
              <w:bottom w:val="single" w:sz="4" w:space="0" w:color="D1C5C3" w:themeColor="accent3"/>
            </w:tcBorders>
            <w:shd w:val="clear" w:color="auto" w:fill="FBF9F9"/>
          </w:tcPr>
          <w:p w:rsidR="00C0001A" w:rsidRPr="00600E3E" w:rsidRDefault="009A36E0" w:rsidP="009A36E0">
            <w:pPr>
              <w:pStyle w:val="Tabel-BrdtekstmedafstandptekstGaramond"/>
              <w:rPr>
                <w:i/>
              </w:rPr>
            </w:pPr>
            <w:r>
              <w:rPr>
                <w:i/>
              </w:rPr>
              <w:t>Erhvervsstyrelsen, Team E</w:t>
            </w:r>
            <w:r>
              <w:rPr>
                <w:i/>
              </w:rPr>
              <w:t>f</w:t>
            </w:r>
            <w:r>
              <w:rPr>
                <w:i/>
              </w:rPr>
              <w:t>fektiv Regulering</w:t>
            </w:r>
          </w:p>
        </w:tc>
        <w:tc>
          <w:tcPr>
            <w:tcW w:w="194" w:type="dxa"/>
            <w:shd w:val="clear" w:color="auto" w:fill="FFFFFF" w:themeFill="background1"/>
          </w:tcPr>
          <w:p w:rsidR="00C0001A" w:rsidRPr="00B5346F" w:rsidRDefault="00C0001A" w:rsidP="00122C71"/>
        </w:tc>
        <w:tc>
          <w:tcPr>
            <w:tcW w:w="3324" w:type="dxa"/>
            <w:tcBorders>
              <w:top w:val="single" w:sz="4" w:space="0" w:color="D1C5C3" w:themeColor="accent3"/>
              <w:bottom w:val="single" w:sz="4" w:space="0" w:color="D1C5C3" w:themeColor="accent3"/>
            </w:tcBorders>
            <w:shd w:val="clear" w:color="auto" w:fill="FBF9F9"/>
          </w:tcPr>
          <w:p w:rsidR="00C0001A" w:rsidRPr="00B5346F" w:rsidRDefault="0016460D">
            <w:pPr>
              <w:pStyle w:val="Tabel-BrdtekstmedafstandptekstGaramond"/>
            </w:pPr>
            <w:r>
              <w:t>Det vurderes</w:t>
            </w:r>
            <w:r w:rsidR="00B21DAA" w:rsidRPr="00B21DAA">
              <w:t>, at lovforslaget medfører administrative kons</w:t>
            </w:r>
            <w:r w:rsidR="00B21DAA" w:rsidRPr="00B21DAA">
              <w:t>e</w:t>
            </w:r>
            <w:r w:rsidR="00B21DAA" w:rsidRPr="00B21DAA">
              <w:t>kvenser under 4 mio. kr. årligt. De bliver derfor ikke kvantific</w:t>
            </w:r>
            <w:r w:rsidR="00B21DAA" w:rsidRPr="00B21DAA">
              <w:t>e</w:t>
            </w:r>
            <w:r w:rsidR="00B21DAA" w:rsidRPr="00B21DAA">
              <w:t>ret yderligere.</w:t>
            </w:r>
            <w:r w:rsidR="00276A33">
              <w:t xml:space="preserve"> </w:t>
            </w:r>
          </w:p>
        </w:tc>
        <w:tc>
          <w:tcPr>
            <w:tcW w:w="209" w:type="dxa"/>
            <w:shd w:val="clear" w:color="auto" w:fill="FFFFFF" w:themeFill="background1"/>
          </w:tcPr>
          <w:p w:rsidR="00C0001A" w:rsidRPr="00B5346F" w:rsidRDefault="00C0001A" w:rsidP="00122C71"/>
        </w:tc>
        <w:tc>
          <w:tcPr>
            <w:tcW w:w="3259" w:type="dxa"/>
            <w:tcBorders>
              <w:top w:val="single" w:sz="4" w:space="0" w:color="14143C" w:themeColor="accent1"/>
              <w:bottom w:val="single" w:sz="4" w:space="0" w:color="14143C" w:themeColor="accent1"/>
            </w:tcBorders>
            <w:shd w:val="clear" w:color="auto" w:fill="D2CED8"/>
          </w:tcPr>
          <w:p w:rsidR="00C0001A" w:rsidRPr="00B5346F" w:rsidRDefault="00C0001A" w:rsidP="00122C71">
            <w:pPr>
              <w:pStyle w:val="Tabel-BrdtekstmedafstandptekstGaramond"/>
            </w:pPr>
          </w:p>
        </w:tc>
      </w:tr>
      <w:tr w:rsidR="009A36E0" w:rsidRPr="00B5346F" w:rsidTr="00C87589">
        <w:tc>
          <w:tcPr>
            <w:tcW w:w="2653" w:type="dxa"/>
            <w:tcBorders>
              <w:top w:val="single" w:sz="4" w:space="0" w:color="D1C5C3" w:themeColor="accent3"/>
              <w:bottom w:val="single" w:sz="4" w:space="0" w:color="D1C5C3" w:themeColor="accent3"/>
            </w:tcBorders>
            <w:shd w:val="clear" w:color="auto" w:fill="FBF9F9"/>
          </w:tcPr>
          <w:p w:rsidR="00C0001A" w:rsidRPr="00600E3E" w:rsidRDefault="009A36E0" w:rsidP="009A36E0">
            <w:pPr>
              <w:pStyle w:val="Tabel-BrdtekstmedafstandptekstGaramond"/>
              <w:rPr>
                <w:i/>
              </w:rPr>
            </w:pPr>
            <w:r>
              <w:rPr>
                <w:i/>
              </w:rPr>
              <w:t>Finansrådet</w:t>
            </w:r>
          </w:p>
        </w:tc>
        <w:tc>
          <w:tcPr>
            <w:tcW w:w="194" w:type="dxa"/>
            <w:shd w:val="clear" w:color="auto" w:fill="FFFFFF" w:themeFill="background1"/>
          </w:tcPr>
          <w:p w:rsidR="00C0001A" w:rsidRPr="00B5346F" w:rsidRDefault="00C0001A" w:rsidP="00122C71"/>
        </w:tc>
        <w:tc>
          <w:tcPr>
            <w:tcW w:w="3324" w:type="dxa"/>
            <w:tcBorders>
              <w:top w:val="single" w:sz="4" w:space="0" w:color="D1C5C3" w:themeColor="accent3"/>
              <w:bottom w:val="single" w:sz="4" w:space="0" w:color="D1C5C3" w:themeColor="accent3"/>
            </w:tcBorders>
            <w:shd w:val="clear" w:color="auto" w:fill="FBF9F9"/>
          </w:tcPr>
          <w:p w:rsidR="000E5775" w:rsidRPr="000E5775" w:rsidRDefault="007B6E82" w:rsidP="000E5775">
            <w:pPr>
              <w:pStyle w:val="Tabel-BrdtekstmedafstandptekstGaramond"/>
            </w:pPr>
            <w:r>
              <w:rPr>
                <w:b/>
              </w:rPr>
              <w:t>Indledende</w:t>
            </w:r>
            <w:r w:rsidR="000E5775" w:rsidRPr="000E5775">
              <w:rPr>
                <w:b/>
              </w:rPr>
              <w:t xml:space="preserve"> bemærkninger</w:t>
            </w:r>
          </w:p>
          <w:p w:rsidR="000E5775" w:rsidRDefault="007C414B" w:rsidP="000E5775">
            <w:pPr>
              <w:pStyle w:val="Tabel-BrdtekstmedafstandptekstGaramond"/>
            </w:pPr>
            <w:r>
              <w:t>Finansrådet anfører, at det</w:t>
            </w:r>
            <w:r w:rsidRPr="000E5775">
              <w:t xml:space="preserve"> </w:t>
            </w:r>
            <w:r w:rsidR="000E5775" w:rsidRPr="000E5775">
              <w:t>fre</w:t>
            </w:r>
            <w:r w:rsidR="000E5775" w:rsidRPr="000E5775">
              <w:t>m</w:t>
            </w:r>
            <w:r w:rsidR="000E5775" w:rsidRPr="000E5775">
              <w:t>satte lovforslag vil have store n</w:t>
            </w:r>
            <w:r w:rsidR="000E5775" w:rsidRPr="000E5775">
              <w:t>e</w:t>
            </w:r>
            <w:r w:rsidR="000E5775" w:rsidRPr="000E5775">
              <w:t>gative konsekvenser for de ikke-erhvervsdrivende fonde og de</w:t>
            </w:r>
            <w:r w:rsidR="000E5775" w:rsidRPr="000E5775">
              <w:t>r</w:t>
            </w:r>
            <w:r w:rsidR="000E5775" w:rsidRPr="000E5775">
              <w:t>med også for de personer og o</w:t>
            </w:r>
            <w:r w:rsidR="000E5775" w:rsidRPr="000E5775">
              <w:t>r</w:t>
            </w:r>
            <w:r w:rsidR="000E5775" w:rsidRPr="000E5775">
              <w:t xml:space="preserve">ganisationer, der modtager de almennyttige og almenvelgørende uddelinger fra fondene. </w:t>
            </w:r>
          </w:p>
          <w:p w:rsidR="00F21F58" w:rsidRPr="000E5775" w:rsidRDefault="00F21F58" w:rsidP="000E5775">
            <w:pPr>
              <w:pStyle w:val="Tabel-BrdtekstmedafstandptekstGaramond"/>
            </w:pPr>
          </w:p>
          <w:p w:rsidR="000E5775" w:rsidRDefault="000E5775" w:rsidP="000E5775">
            <w:pPr>
              <w:pStyle w:val="Tabel-BrdtekstmedafstandptekstGaramond"/>
            </w:pPr>
            <w:r w:rsidRPr="000E5775">
              <w:t>Det har altid været et grundlæ</w:t>
            </w:r>
            <w:r w:rsidRPr="000E5775">
              <w:t>g</w:t>
            </w:r>
            <w:r w:rsidRPr="000E5775">
              <w:t>gende princip, at fonde</w:t>
            </w:r>
            <w:r w:rsidR="00F21F58">
              <w:t>,</w:t>
            </w:r>
            <w:r w:rsidRPr="000E5775">
              <w:t xml:space="preserve"> der u</w:t>
            </w:r>
            <w:r w:rsidRPr="000E5775">
              <w:t>d</w:t>
            </w:r>
            <w:r w:rsidRPr="000E5775">
              <w:lastRenderedPageBreak/>
              <w:t>de</w:t>
            </w:r>
            <w:r w:rsidR="00F21F58">
              <w:t>ler til al</w:t>
            </w:r>
            <w:r w:rsidRPr="000E5775">
              <w:t>mennyttige og alme</w:t>
            </w:r>
            <w:r w:rsidRPr="000E5775">
              <w:t>n</w:t>
            </w:r>
            <w:r w:rsidRPr="000E5775">
              <w:t>velgørende formål</w:t>
            </w:r>
            <w:r w:rsidR="00F21F58">
              <w:t>,</w:t>
            </w:r>
            <w:r w:rsidRPr="000E5775">
              <w:t xml:space="preserve"> ikke</w:t>
            </w:r>
            <w:r w:rsidR="00F21F58">
              <w:t xml:space="preserve"> skulle betale skat. Skattebeta</w:t>
            </w:r>
            <w:r w:rsidRPr="000E5775">
              <w:t>ling fra en fond vil nedbringe det beløb, som fon</w:t>
            </w:r>
            <w:r w:rsidR="00F21F58">
              <w:t>den kan uddele til a</w:t>
            </w:r>
            <w:r w:rsidR="00F21F58">
              <w:t>l</w:t>
            </w:r>
            <w:r w:rsidR="00F21F58">
              <w:t>men</w:t>
            </w:r>
            <w:r w:rsidRPr="000E5775">
              <w:t>nyttige formål, f.eks. udda</w:t>
            </w:r>
            <w:r w:rsidRPr="000E5775">
              <w:t>n</w:t>
            </w:r>
            <w:r w:rsidRPr="000E5775">
              <w:t xml:space="preserve">nelse og forskning. </w:t>
            </w:r>
          </w:p>
          <w:p w:rsidR="00F21F58" w:rsidRPr="000E5775" w:rsidRDefault="00F21F58" w:rsidP="000E5775">
            <w:pPr>
              <w:pStyle w:val="Tabel-BrdtekstmedafstandptekstGaramond"/>
            </w:pPr>
          </w:p>
          <w:p w:rsidR="00A51E77" w:rsidRPr="00A51E77" w:rsidRDefault="00A51E77" w:rsidP="00A51E77">
            <w:pPr>
              <w:pStyle w:val="Tabel-BrdtekstmedafstandptekstGaramond"/>
            </w:pPr>
            <w:r>
              <w:t xml:space="preserve">Finansrådet mener, at </w:t>
            </w:r>
            <w:r w:rsidR="000E5775" w:rsidRPr="000E5775">
              <w:t xml:space="preserve">der i </w:t>
            </w:r>
            <w:r>
              <w:t>b</w:t>
            </w:r>
            <w:r>
              <w:t>e</w:t>
            </w:r>
            <w:r>
              <w:t xml:space="preserve">mærkningerne til </w:t>
            </w:r>
            <w:r w:rsidR="000E5775" w:rsidRPr="000E5775">
              <w:t>forslaget er en</w:t>
            </w:r>
            <w:r w:rsidR="00F21F58">
              <w:t xml:space="preserve"> </w:t>
            </w:r>
            <w:r w:rsidR="000E5775" w:rsidRPr="000E5775">
              <w:t>række faktuelt forkerte oplysni</w:t>
            </w:r>
            <w:r w:rsidR="000E5775" w:rsidRPr="000E5775">
              <w:t>n</w:t>
            </w:r>
            <w:r>
              <w:t>ger, se i det følgende.</w:t>
            </w:r>
          </w:p>
          <w:p w:rsidR="00A51E77" w:rsidRPr="00A51E77" w:rsidRDefault="00A51E77" w:rsidP="00A51E77">
            <w:pPr>
              <w:pStyle w:val="Tabel-BrdtekstmedafstandptekstGaramond"/>
            </w:pPr>
            <w:r w:rsidRPr="00A51E77">
              <w:t xml:space="preserve"> </w:t>
            </w:r>
          </w:p>
          <w:p w:rsidR="00A51E77" w:rsidRDefault="00A51E77" w:rsidP="00A51E77">
            <w:pPr>
              <w:pStyle w:val="Tabel-BrdtekstmedafstandptekstGaramond"/>
            </w:pPr>
            <w:r>
              <w:t xml:space="preserve">I lovforslagets afsnit </w:t>
            </w:r>
            <w:r w:rsidRPr="00A51E77">
              <w:t>3.1.2. anf</w:t>
            </w:r>
            <w:r w:rsidRPr="00A51E77">
              <w:t>ø</w:t>
            </w:r>
            <w:r w:rsidRPr="00A51E77">
              <w:t xml:space="preserve">res: ”Fonde </w:t>
            </w:r>
            <w:r w:rsidRPr="00A51E77">
              <w:rPr>
                <w:b/>
                <w:bCs/>
              </w:rPr>
              <w:t xml:space="preserve">kan </w:t>
            </w:r>
            <w:r w:rsidRPr="00A51E77">
              <w:t>i stedet for det beskrevne, generelle konsolid</w:t>
            </w:r>
            <w:r w:rsidRPr="00A51E77">
              <w:t>e</w:t>
            </w:r>
            <w:r w:rsidRPr="00A51E77">
              <w:t xml:space="preserve">ringsfradrag </w:t>
            </w:r>
            <w:r w:rsidRPr="00A51E77">
              <w:rPr>
                <w:b/>
                <w:bCs/>
              </w:rPr>
              <w:t xml:space="preserve">vælge </w:t>
            </w:r>
            <w:r w:rsidRPr="00A51E77">
              <w:t xml:space="preserve">at fradrage andre </w:t>
            </w:r>
            <w:r>
              <w:t>hensættel</w:t>
            </w:r>
            <w:r w:rsidRPr="00A51E77">
              <w:t>ser til konsolid</w:t>
            </w:r>
            <w:r w:rsidRPr="00A51E77">
              <w:t>e</w:t>
            </w:r>
            <w:r w:rsidRPr="00A51E77">
              <w:t xml:space="preserve">ring, der sker i henhold til krav herom i kongeligt konfirmeret fundats…” (fremhævet her). </w:t>
            </w:r>
          </w:p>
          <w:p w:rsidR="00A51E77" w:rsidRPr="00A51E77" w:rsidRDefault="00A51E77" w:rsidP="00A51E77">
            <w:pPr>
              <w:pStyle w:val="Tabel-BrdtekstmedafstandptekstGaramond"/>
            </w:pPr>
          </w:p>
          <w:p w:rsidR="00A51E77" w:rsidRDefault="00A51E77" w:rsidP="00A51E77">
            <w:pPr>
              <w:pStyle w:val="Tabel-BrdtekstmedafstandptekstGaramond"/>
            </w:pPr>
            <w:r w:rsidRPr="00A51E77">
              <w:t>Hertil bemærkes, at det ikke s</w:t>
            </w:r>
            <w:r w:rsidRPr="00A51E77">
              <w:t>i</w:t>
            </w:r>
            <w:r w:rsidRPr="00A51E77">
              <w:t>den 1. januar 1985 har været m</w:t>
            </w:r>
            <w:r w:rsidRPr="00A51E77">
              <w:t>u</w:t>
            </w:r>
            <w:r w:rsidRPr="00A51E77">
              <w:t>ligt at opnå kongelig konfirmat</w:t>
            </w:r>
            <w:r w:rsidRPr="00A51E77">
              <w:t>i</w:t>
            </w:r>
            <w:r w:rsidRPr="00A51E77">
              <w:t xml:space="preserve">on på fundatser. Der er dermed </w:t>
            </w:r>
            <w:r w:rsidRPr="00A51E77">
              <w:rPr>
                <w:i/>
                <w:iCs/>
              </w:rPr>
              <w:t xml:space="preserve">ikke </w:t>
            </w:r>
            <w:r w:rsidRPr="00A51E77">
              <w:t xml:space="preserve">tale om en valgmulighed for langt de fleste fonde, men alene en adgang, der er åben for de (få) fonde, der for mange år siden er blevet konfirmeret. </w:t>
            </w:r>
          </w:p>
          <w:p w:rsidR="00581DBE" w:rsidRPr="00581DBE" w:rsidRDefault="00581DBE" w:rsidP="00581DBE">
            <w:pPr>
              <w:pStyle w:val="Tabel-BrdtekstmedafstandptekstGaramond"/>
            </w:pPr>
            <w:r w:rsidRPr="00581DBE">
              <w:t xml:space="preserve"> </w:t>
            </w:r>
          </w:p>
          <w:p w:rsidR="00581DBE" w:rsidRPr="00581DBE" w:rsidRDefault="00581DBE" w:rsidP="00581DBE">
            <w:pPr>
              <w:pStyle w:val="Tabel-BrdtekstmedafstandptekstGaramond"/>
            </w:pPr>
            <w:r>
              <w:t>I afsnit</w:t>
            </w:r>
            <w:r w:rsidRPr="00581DBE">
              <w:t xml:space="preserve"> 3.2.1. </w:t>
            </w:r>
            <w:r>
              <w:t xml:space="preserve">i lovforslaget er det </w:t>
            </w:r>
            <w:r w:rsidRPr="00581DBE">
              <w:t>anfør</w:t>
            </w:r>
            <w:r>
              <w:t>t,</w:t>
            </w:r>
            <w:r w:rsidRPr="00581DBE">
              <w:t xml:space="preserve"> at fondene har været o</w:t>
            </w:r>
            <w:r w:rsidRPr="00581DBE">
              <w:t>m</w:t>
            </w:r>
            <w:r>
              <w:t>fattet af de se</w:t>
            </w:r>
            <w:r w:rsidRPr="00581DBE">
              <w:t xml:space="preserve">nere års generelle nedsættelse af selskabsskatten og dermed har fået øget muligheden for at konsolidere sig. </w:t>
            </w:r>
          </w:p>
          <w:p w:rsidR="0081434D" w:rsidRPr="0081434D" w:rsidRDefault="006B2E45" w:rsidP="0081434D">
            <w:pPr>
              <w:pStyle w:val="Tabel-BrdtekstmedafstandptekstGaramond"/>
            </w:pPr>
            <w:r>
              <w:t>Finansrådet bemærker hertil, at l</w:t>
            </w:r>
            <w:r w:rsidR="00581DBE" w:rsidRPr="00581DBE">
              <w:t>angt de fleste fonde betaler – på grund af de almindelige fradrag</w:t>
            </w:r>
            <w:r w:rsidR="00581DBE" w:rsidRPr="00581DBE">
              <w:t>s</w:t>
            </w:r>
            <w:r w:rsidR="00581DBE" w:rsidRPr="00581DBE">
              <w:t>regler for uddelinger – ikke skat. Det er dermed uden betydning hvilken skattesats fonden event</w:t>
            </w:r>
            <w:r w:rsidR="00581DBE" w:rsidRPr="00581DBE">
              <w:t>u</w:t>
            </w:r>
            <w:r w:rsidR="00581DBE" w:rsidRPr="00581DBE">
              <w:lastRenderedPageBreak/>
              <w:t>elt skulle have betalt, da der t</w:t>
            </w:r>
            <w:r w:rsidR="00581DBE" w:rsidRPr="00581DBE">
              <w:t>y</w:t>
            </w:r>
            <w:r w:rsidR="00581DBE" w:rsidRPr="00581DBE">
              <w:t xml:space="preserve">pisk slet intet er betalt. Fondene har dermed </w:t>
            </w:r>
            <w:r w:rsidR="00581DBE" w:rsidRPr="00581DBE">
              <w:rPr>
                <w:i/>
                <w:iCs/>
              </w:rPr>
              <w:t xml:space="preserve">ikke </w:t>
            </w:r>
            <w:r w:rsidR="00581DBE" w:rsidRPr="00581DBE">
              <w:t>fået øgede ko</w:t>
            </w:r>
            <w:r w:rsidR="00581DBE" w:rsidRPr="00581DBE">
              <w:t>n</w:t>
            </w:r>
            <w:r w:rsidR="00581DBE" w:rsidRPr="00581DBE">
              <w:t xml:space="preserve">solideringsmuligheder på grund af den sænkede skattesats. </w:t>
            </w:r>
          </w:p>
          <w:p w:rsidR="0081434D" w:rsidRPr="0081434D" w:rsidRDefault="0081434D" w:rsidP="0081434D">
            <w:pPr>
              <w:pStyle w:val="Tabel-BrdtekstmedafstandptekstGaramond"/>
            </w:pPr>
            <w:r w:rsidRPr="0081434D">
              <w:t xml:space="preserve"> </w:t>
            </w:r>
          </w:p>
          <w:p w:rsidR="0081434D" w:rsidRDefault="0081434D" w:rsidP="0081434D">
            <w:pPr>
              <w:pStyle w:val="Tabel-BrdtekstmedafstandptekstGaramond"/>
            </w:pPr>
            <w:r>
              <w:t>I lovforslagets afsnit</w:t>
            </w:r>
            <w:r w:rsidRPr="0081434D">
              <w:t xml:space="preserve"> 4.1. anføres, at hovedparten af fondes in</w:t>
            </w:r>
            <w:r w:rsidRPr="0081434D">
              <w:t>d</w:t>
            </w:r>
            <w:r w:rsidRPr="0081434D">
              <w:t xml:space="preserve">komst typisk består af skattefri udbytter. </w:t>
            </w:r>
          </w:p>
          <w:p w:rsidR="0081434D" w:rsidRPr="0081434D" w:rsidRDefault="0081434D" w:rsidP="0081434D">
            <w:pPr>
              <w:pStyle w:val="Tabel-BrdtekstmedafstandptekstGaramond"/>
            </w:pPr>
          </w:p>
          <w:p w:rsidR="0081434D" w:rsidRDefault="0081434D" w:rsidP="0081434D">
            <w:pPr>
              <w:pStyle w:val="Tabel-BrdtekstmedafstandptekstGaramond"/>
            </w:pPr>
            <w:r w:rsidRPr="0081434D">
              <w:t>Ikke-erhvervsdrivende fonde</w:t>
            </w:r>
            <w:r>
              <w:t xml:space="preserve"> har – bl.a. på grund af fondslo</w:t>
            </w:r>
            <w:r w:rsidRPr="0081434D">
              <w:t>vens § 10 og den dertil hørende b</w:t>
            </w:r>
            <w:r w:rsidRPr="0081434D">
              <w:t>e</w:t>
            </w:r>
            <w:r w:rsidRPr="0081434D">
              <w:t>kendtgørelse</w:t>
            </w:r>
            <w:r>
              <w:t xml:space="preserve"> –</w:t>
            </w:r>
            <w:r w:rsidRPr="0081434D">
              <w:t xml:space="preserve"> blandede port</w:t>
            </w:r>
            <w:r w:rsidRPr="0081434D">
              <w:t>e</w:t>
            </w:r>
            <w:r w:rsidRPr="0081434D">
              <w:t>føljer af børsnoterede værdipap</w:t>
            </w:r>
            <w:r w:rsidRPr="0081434D">
              <w:t>i</w:t>
            </w:r>
            <w:r w:rsidRPr="0081434D">
              <w:t>rer, hvor</w:t>
            </w:r>
            <w:r>
              <w:t>af ingen ak</w:t>
            </w:r>
            <w:r w:rsidRPr="0081434D">
              <w:t xml:space="preserve">tiepost må overstige 15 </w:t>
            </w:r>
            <w:r>
              <w:t>pct.</w:t>
            </w:r>
            <w:r w:rsidRPr="0081434D">
              <w:t xml:space="preserve"> af et aktiese</w:t>
            </w:r>
            <w:r w:rsidRPr="0081434D">
              <w:t>l</w:t>
            </w:r>
            <w:r w:rsidRPr="0081434D">
              <w:t>skabs kapital. Disse fonde mo</w:t>
            </w:r>
            <w:r w:rsidRPr="0081434D">
              <w:t>d</w:t>
            </w:r>
            <w:r w:rsidRPr="0081434D">
              <w:t xml:space="preserve">tager dermed generelt </w:t>
            </w:r>
            <w:r w:rsidRPr="0081434D">
              <w:rPr>
                <w:i/>
                <w:iCs/>
              </w:rPr>
              <w:t xml:space="preserve">ingen </w:t>
            </w:r>
            <w:r w:rsidRPr="0081434D">
              <w:t>ska</w:t>
            </w:r>
            <w:r w:rsidRPr="0081434D">
              <w:t>t</w:t>
            </w:r>
            <w:r w:rsidR="00152089">
              <w:t>tefri ud</w:t>
            </w:r>
            <w:r w:rsidRPr="0081434D">
              <w:t xml:space="preserve">bytter, da fondene typisk ikke ejer over 10 </w:t>
            </w:r>
            <w:r>
              <w:t>pct. af et bør</w:t>
            </w:r>
            <w:r>
              <w:t>s</w:t>
            </w:r>
            <w:r>
              <w:t>no</w:t>
            </w:r>
            <w:r w:rsidRPr="0081434D">
              <w:t xml:space="preserve">teret selskab. </w:t>
            </w:r>
          </w:p>
          <w:p w:rsidR="00FF3A2A" w:rsidRDefault="00FF3A2A" w:rsidP="0081434D">
            <w:pPr>
              <w:pStyle w:val="Tabel-BrdtekstmedafstandptekstGaramond"/>
            </w:pPr>
          </w:p>
          <w:p w:rsidR="00FF3A2A" w:rsidRDefault="00FF3A2A" w:rsidP="0081434D">
            <w:pPr>
              <w:pStyle w:val="Tabel-BrdtekstmedafstandptekstGaramond"/>
            </w:pPr>
            <w:r w:rsidRPr="00FF3A2A">
              <w:t>Det er endvidere efter Finansr</w:t>
            </w:r>
            <w:r w:rsidRPr="00FF3A2A">
              <w:t>å</w:t>
            </w:r>
            <w:r w:rsidRPr="00FF3A2A">
              <w:t>dets opfattelse ikke retvisende at betegne konsolideringsfradraget som erhvervsstøtte. Dels fordi en række fonde ikke er erhvervsdr</w:t>
            </w:r>
            <w:r w:rsidRPr="00FF3A2A">
              <w:t>i</w:t>
            </w:r>
            <w:r w:rsidRPr="00FF3A2A">
              <w:t>vende, og dels fordi hensigten med konsolideringsfradraget er at beskytte fondenes formue mod udhuling og tilskynde fondene til at foretage almennyttige uddeli</w:t>
            </w:r>
            <w:r w:rsidRPr="00FF3A2A">
              <w:t>n</w:t>
            </w:r>
            <w:r w:rsidRPr="00FF3A2A">
              <w:t>ger til gavn for samfundet.</w:t>
            </w:r>
          </w:p>
          <w:p w:rsidR="006224BC" w:rsidRDefault="006224BC" w:rsidP="0081434D">
            <w:pPr>
              <w:pStyle w:val="Tabel-BrdtekstmedafstandptekstGaramond"/>
            </w:pPr>
          </w:p>
          <w:p w:rsidR="00F44124" w:rsidRDefault="00F44124" w:rsidP="006224BC">
            <w:pPr>
              <w:pStyle w:val="Tabel-BrdtekstmedafstandptekstGaramond"/>
            </w:pPr>
            <w:r>
              <w:rPr>
                <w:b/>
              </w:rPr>
              <w:t>De særlige regler for</w:t>
            </w:r>
            <w:r w:rsidRPr="00F44124">
              <w:rPr>
                <w:b/>
              </w:rPr>
              <w:t xml:space="preserve"> ikke-erhvervsdrivende fonde</w:t>
            </w:r>
          </w:p>
          <w:p w:rsidR="006224BC" w:rsidRDefault="006224BC" w:rsidP="006224BC">
            <w:pPr>
              <w:pStyle w:val="Tabel-BrdtekstmedafstandptekstGaramond"/>
            </w:pPr>
            <w:r w:rsidRPr="006224BC">
              <w:t>De ikke-erhvervsdrivende fonde er reguleret af restriktive</w:t>
            </w:r>
            <w:r w:rsidR="00BD78B5">
              <w:t>,</w:t>
            </w:r>
            <w:r w:rsidRPr="006224BC">
              <w:t xml:space="preserve"> </w:t>
            </w:r>
            <w:r w:rsidR="00BD78B5">
              <w:t>civilre</w:t>
            </w:r>
            <w:r w:rsidR="00BD78B5">
              <w:t>t</w:t>
            </w:r>
            <w:r w:rsidR="00BD78B5">
              <w:t xml:space="preserve">lige </w:t>
            </w:r>
            <w:r w:rsidRPr="006224BC">
              <w:t xml:space="preserve">regler for såvel investering som uddelingsmuligheder. </w:t>
            </w:r>
          </w:p>
          <w:p w:rsidR="00F44124" w:rsidRPr="006224BC" w:rsidRDefault="00F44124" w:rsidP="006224BC">
            <w:pPr>
              <w:pStyle w:val="Tabel-BrdtekstmedafstandptekstGaramond"/>
            </w:pPr>
          </w:p>
          <w:p w:rsidR="006224BC" w:rsidRDefault="006224BC" w:rsidP="006224BC">
            <w:pPr>
              <w:pStyle w:val="Tabel-BrdtekstmedafstandptekstGaramond"/>
            </w:pPr>
            <w:r w:rsidRPr="006224BC">
              <w:t>Af størst betydning er, at ikke-</w:t>
            </w:r>
            <w:r w:rsidRPr="006224BC">
              <w:lastRenderedPageBreak/>
              <w:t>erhvervsdrivende fonde som u</w:t>
            </w:r>
            <w:r w:rsidRPr="006224BC">
              <w:t>d</w:t>
            </w:r>
            <w:r w:rsidRPr="006224BC">
              <w:t>gangspunkt ikke må uddele den kapital, som fonden er stiftet med (inkl. senere værdistigni</w:t>
            </w:r>
            <w:r w:rsidRPr="006224BC">
              <w:t>n</w:t>
            </w:r>
            <w:r w:rsidRPr="006224BC">
              <w:t>ger), den såkaldt ”bundne” kap</w:t>
            </w:r>
            <w:r w:rsidRPr="006224BC">
              <w:t>i</w:t>
            </w:r>
            <w:r w:rsidRPr="006224BC">
              <w:t>tal. Disse fonde kan og skal, jf. fondslovens § 2</w:t>
            </w:r>
            <w:r w:rsidR="00BD78B5">
              <w:t>9, alene uddele de renter og ud</w:t>
            </w:r>
            <w:r w:rsidRPr="006224BC">
              <w:t xml:space="preserve">bytter, </w:t>
            </w:r>
            <w:r w:rsidR="00B00891">
              <w:t>der</w:t>
            </w:r>
            <w:r w:rsidRPr="006224BC">
              <w:t xml:space="preserve"> modtage</w:t>
            </w:r>
            <w:r w:rsidR="00B00891">
              <w:t>s som</w:t>
            </w:r>
            <w:r w:rsidRPr="006224BC">
              <w:t xml:space="preserve"> afkast af formue</w:t>
            </w:r>
            <w:r w:rsidR="00B00891">
              <w:t>n</w:t>
            </w:r>
            <w:r w:rsidRPr="006224BC">
              <w:t xml:space="preserve">. </w:t>
            </w:r>
          </w:p>
          <w:p w:rsidR="00F44124" w:rsidRPr="006224BC" w:rsidRDefault="00F44124" w:rsidP="006224BC">
            <w:pPr>
              <w:pStyle w:val="Tabel-BrdtekstmedafstandptekstGaramond"/>
            </w:pPr>
          </w:p>
          <w:p w:rsidR="006224BC" w:rsidRDefault="006224BC" w:rsidP="006224BC">
            <w:pPr>
              <w:pStyle w:val="Tabel-BrdtekstmedafstandptekstGaramond"/>
            </w:pPr>
            <w:r w:rsidRPr="006224BC">
              <w:t xml:space="preserve">Dog kan ikke-erhvervsdrivende fonde, jf. fondslovens § 9, stk. 3, vælge at uddele det foregående års skattepligtige kursgevinster. Denne regel hænger sammen med fondsbeskatningsloven og sikrer, at fonde ikke beskattes, hvis de opfylder deres formål. </w:t>
            </w:r>
          </w:p>
          <w:p w:rsidR="00F44124" w:rsidRPr="006224BC" w:rsidRDefault="00F44124" w:rsidP="006224BC">
            <w:pPr>
              <w:pStyle w:val="Tabel-BrdtekstmedafstandptekstGaramond"/>
            </w:pPr>
          </w:p>
          <w:p w:rsidR="006224BC" w:rsidRDefault="006224BC" w:rsidP="006224BC">
            <w:pPr>
              <w:pStyle w:val="Tabel-BrdtekstmedafstandptekstGaramond"/>
            </w:pPr>
            <w:r w:rsidRPr="006224BC">
              <w:t>Disse forhold bevirker, at ikke-erhvervsdrivende fondes udd</w:t>
            </w:r>
            <w:r w:rsidRPr="006224BC">
              <w:t>e</w:t>
            </w:r>
            <w:r w:rsidRPr="006224BC">
              <w:t>lin</w:t>
            </w:r>
            <w:r w:rsidR="00F44124">
              <w:t>ger til al</w:t>
            </w:r>
            <w:r w:rsidRPr="006224BC">
              <w:t>mennyttige formål er afhængige af det aktuelle rente- og udbytteniveau. Med det akt</w:t>
            </w:r>
            <w:r w:rsidRPr="006224BC">
              <w:t>u</w:t>
            </w:r>
            <w:r w:rsidRPr="006224BC">
              <w:t>elle lave rente</w:t>
            </w:r>
            <w:r w:rsidR="00F44124">
              <w:t>niveau er fondenes mu</w:t>
            </w:r>
            <w:r w:rsidRPr="006224BC">
              <w:t>ligheder for at uddele p.t. r</w:t>
            </w:r>
            <w:r w:rsidRPr="006224BC">
              <w:t>e</w:t>
            </w:r>
            <w:r w:rsidRPr="006224BC">
              <w:t>duceret kraftigt.</w:t>
            </w:r>
          </w:p>
          <w:p w:rsidR="00D36A7A" w:rsidRDefault="00D36A7A" w:rsidP="006224BC">
            <w:pPr>
              <w:pStyle w:val="Tabel-BrdtekstmedafstandptekstGaramond"/>
            </w:pPr>
          </w:p>
          <w:p w:rsidR="00D36A7A" w:rsidRDefault="00D36A7A" w:rsidP="006224BC">
            <w:pPr>
              <w:pStyle w:val="Tabel-BrdtekstmedafstandptekstGaramond"/>
            </w:pPr>
            <w:r w:rsidRPr="00D36A7A">
              <w:rPr>
                <w:b/>
                <w:bCs/>
              </w:rPr>
              <w:t>Særligt om fonde med plig</w:t>
            </w:r>
            <w:r w:rsidRPr="00D36A7A">
              <w:rPr>
                <w:b/>
                <w:bCs/>
              </w:rPr>
              <w:t>t</w:t>
            </w:r>
            <w:r w:rsidRPr="00D36A7A">
              <w:rPr>
                <w:b/>
                <w:bCs/>
              </w:rPr>
              <w:t>mæssig konsolidering</w:t>
            </w:r>
          </w:p>
          <w:p w:rsidR="00BD78B5" w:rsidRDefault="00D9231A" w:rsidP="006224BC">
            <w:pPr>
              <w:pStyle w:val="Tabel-BrdtekstmedafstandptekstGaramond"/>
            </w:pPr>
            <w:r w:rsidRPr="00D9231A">
              <w:t xml:space="preserve">Et stort antal ikke-erhvervsdrivende fonde </w:t>
            </w:r>
            <w:r>
              <w:t>har efter</w:t>
            </w:r>
            <w:r w:rsidRPr="00D9231A">
              <w:t xml:space="preserve"> deres vedtægt/fundats pligt til at overføre en del af årets overskud til konsoli</w:t>
            </w:r>
            <w:r>
              <w:t>de</w:t>
            </w:r>
            <w:r w:rsidRPr="00D9231A">
              <w:t xml:space="preserve">ring af den bundne kapital </w:t>
            </w:r>
            <w:r>
              <w:t>for</w:t>
            </w:r>
            <w:r w:rsidRPr="00D9231A">
              <w:t xml:space="preserve"> dermed bl.a. </w:t>
            </w:r>
            <w:r>
              <w:t xml:space="preserve">at </w:t>
            </w:r>
            <w:r w:rsidRPr="00D9231A">
              <w:t>inflat</w:t>
            </w:r>
            <w:r w:rsidRPr="00D9231A">
              <w:t>i</w:t>
            </w:r>
            <w:r w:rsidRPr="00D9231A">
              <w:t>onssikre denne.</w:t>
            </w:r>
          </w:p>
          <w:p w:rsidR="00503950" w:rsidRDefault="00503950" w:rsidP="006224BC">
            <w:pPr>
              <w:pStyle w:val="Tabel-BrdtekstmedafstandptekstGaramond"/>
            </w:pPr>
          </w:p>
          <w:p w:rsidR="00503950" w:rsidRDefault="00503950" w:rsidP="006224BC">
            <w:pPr>
              <w:pStyle w:val="Tabel-BrdtekstmedafstandptekstGaramond"/>
            </w:pPr>
            <w:r>
              <w:t>På baggrund af et eksempel, der er opstillet i høringssvaret, ko</w:t>
            </w:r>
            <w:r>
              <w:t>n</w:t>
            </w:r>
            <w:r>
              <w:t>kluderer Finansrådet, at en fonds</w:t>
            </w:r>
            <w:r w:rsidRPr="00503950">
              <w:t xml:space="preserve"> hensættelser i løbet af nogle år </w:t>
            </w:r>
            <w:r>
              <w:t xml:space="preserve">kan </w:t>
            </w:r>
            <w:r w:rsidRPr="00503950">
              <w:t xml:space="preserve">overstige fondens indtægter. I så fald vil det </w:t>
            </w:r>
            <w:r w:rsidR="0072538E">
              <w:t>–</w:t>
            </w:r>
            <w:r w:rsidRPr="00503950">
              <w:t xml:space="preserve"> </w:t>
            </w:r>
            <w:r w:rsidRPr="00503950">
              <w:rPr>
                <w:i/>
                <w:iCs/>
              </w:rPr>
              <w:t xml:space="preserve">selv om </w:t>
            </w:r>
            <w:r w:rsidRPr="00503950">
              <w:t xml:space="preserve">fonden </w:t>
            </w:r>
            <w:r w:rsidRPr="00503950">
              <w:lastRenderedPageBreak/>
              <w:t>fuldt ud har overholdt sin udd</w:t>
            </w:r>
            <w:r w:rsidRPr="00503950">
              <w:t>e</w:t>
            </w:r>
            <w:r w:rsidRPr="00503950">
              <w:t xml:space="preserve">lingsforpligtigelse </w:t>
            </w:r>
            <w:r w:rsidR="0072538E">
              <w:t>–</w:t>
            </w:r>
            <w:r w:rsidRPr="00503950">
              <w:t xml:space="preserve"> ikke være muligt for fonden at uddele ti</w:t>
            </w:r>
            <w:r w:rsidRPr="00503950">
              <w:t>l</w:t>
            </w:r>
            <w:r w:rsidRPr="00503950">
              <w:t>strækkeligt til at anvende hensæ</w:t>
            </w:r>
            <w:r w:rsidRPr="00503950">
              <w:t>t</w:t>
            </w:r>
            <w:r w:rsidRPr="00503950">
              <w:t>telserne, hvilket vil medføre ge</w:t>
            </w:r>
            <w:r w:rsidRPr="00503950">
              <w:t>n</w:t>
            </w:r>
            <w:r w:rsidRPr="00503950">
              <w:t>be</w:t>
            </w:r>
            <w:r w:rsidR="00064ABD">
              <w:t>skat</w:t>
            </w:r>
            <w:r w:rsidRPr="00503950">
              <w:t>ning af hensættelserne.</w:t>
            </w:r>
          </w:p>
          <w:p w:rsidR="00190D56" w:rsidRDefault="00190D56" w:rsidP="006224BC">
            <w:pPr>
              <w:pStyle w:val="Tabel-BrdtekstmedafstandptekstGaramond"/>
            </w:pPr>
          </w:p>
          <w:p w:rsidR="00190D56" w:rsidRDefault="00190D56" w:rsidP="006224BC">
            <w:pPr>
              <w:pStyle w:val="Tabel-BrdtekstmedafstandptekstGaramond"/>
            </w:pPr>
            <w:r w:rsidRPr="00190D56">
              <w:t>Dette vil samtidig betyde at fo</w:t>
            </w:r>
            <w:r w:rsidRPr="00190D56">
              <w:t>n</w:t>
            </w:r>
            <w:r w:rsidRPr="00190D56">
              <w:t>de, der anvender realisationspri</w:t>
            </w:r>
            <w:r w:rsidRPr="00190D56">
              <w:t>n</w:t>
            </w:r>
            <w:r w:rsidRPr="00190D56">
              <w:t>cippet ved beskatning af aktier og aktiebaserede investeringsfo</w:t>
            </w:r>
            <w:r w:rsidRPr="00190D56">
              <w:t>r</w:t>
            </w:r>
            <w:r w:rsidRPr="00190D56">
              <w:t>eninger</w:t>
            </w:r>
            <w:r w:rsidR="00F72846">
              <w:t>,</w:t>
            </w:r>
            <w:r w:rsidRPr="00190D56">
              <w:t xml:space="preserve"> vil overgå til tvungen l</w:t>
            </w:r>
            <w:r w:rsidRPr="00190D56">
              <w:t>a</w:t>
            </w:r>
            <w:r w:rsidRPr="00190D56">
              <w:t>gerbeskatning, med deraf forøget skattepligtig indkomst.</w:t>
            </w:r>
          </w:p>
          <w:p w:rsidR="00F72846" w:rsidRDefault="00F72846" w:rsidP="006224BC">
            <w:pPr>
              <w:pStyle w:val="Tabel-BrdtekstmedafstandptekstGaramond"/>
            </w:pPr>
          </w:p>
          <w:p w:rsidR="00F72846" w:rsidRDefault="007B6E82" w:rsidP="006224BC">
            <w:pPr>
              <w:pStyle w:val="Tabel-BrdtekstmedafstandptekstGaramond"/>
            </w:pPr>
            <w:r w:rsidRPr="007B6E82">
              <w:rPr>
                <w:b/>
                <w:bCs/>
              </w:rPr>
              <w:t>Generelle konsekvenser af lo</w:t>
            </w:r>
            <w:r w:rsidRPr="007B6E82">
              <w:rPr>
                <w:b/>
                <w:bCs/>
              </w:rPr>
              <w:t>v</w:t>
            </w:r>
            <w:r w:rsidRPr="007B6E82">
              <w:rPr>
                <w:b/>
                <w:bCs/>
              </w:rPr>
              <w:t>forslaget</w:t>
            </w:r>
          </w:p>
          <w:p w:rsidR="00884082" w:rsidRDefault="001952F0" w:rsidP="00884082">
            <w:pPr>
              <w:pStyle w:val="Tabel-BrdtekstmedafstandptekstGaramond"/>
            </w:pPr>
            <w:r>
              <w:t>Finansråd</w:t>
            </w:r>
            <w:r w:rsidR="007F5DF9">
              <w:t>e</w:t>
            </w:r>
            <w:r>
              <w:t>t anfører, at k</w:t>
            </w:r>
            <w:r w:rsidR="00884082" w:rsidRPr="00884082">
              <w:t>onsol</w:t>
            </w:r>
            <w:r w:rsidR="00884082" w:rsidRPr="00884082">
              <w:t>i</w:t>
            </w:r>
            <w:r w:rsidR="00884082" w:rsidRPr="00884082">
              <w:t>deringsfradraget muliggør</w:t>
            </w:r>
            <w:r w:rsidR="00884082">
              <w:t>, at fon</w:t>
            </w:r>
            <w:r w:rsidR="00884082" w:rsidRPr="00884082">
              <w:t>de kan uddele mindre end d</w:t>
            </w:r>
            <w:r w:rsidR="00884082" w:rsidRPr="00884082">
              <w:t>e</w:t>
            </w:r>
            <w:r w:rsidR="00884082" w:rsidRPr="00884082">
              <w:t>res fulde indtægt og til gengæld konsolidere (øge) deres kapita</w:t>
            </w:r>
            <w:r w:rsidR="00884082" w:rsidRPr="00884082">
              <w:t>l</w:t>
            </w:r>
            <w:r w:rsidR="00884082" w:rsidRPr="00884082">
              <w:t>grundlag for derved at øge de langsigtede muligheder for rent</w:t>
            </w:r>
            <w:r w:rsidR="00884082" w:rsidRPr="00884082">
              <w:t>e</w:t>
            </w:r>
            <w:r w:rsidR="00884082" w:rsidRPr="00884082">
              <w:t>indtægter og dermed uddeling</w:t>
            </w:r>
            <w:r w:rsidR="00884082" w:rsidRPr="00884082">
              <w:t>s</w:t>
            </w:r>
            <w:r w:rsidR="00884082" w:rsidRPr="00884082">
              <w:t xml:space="preserve">muligheder. </w:t>
            </w:r>
          </w:p>
          <w:p w:rsidR="00884082" w:rsidRPr="00884082" w:rsidRDefault="00884082" w:rsidP="00884082">
            <w:pPr>
              <w:pStyle w:val="Tabel-BrdtekstmedafstandptekstGaramond"/>
            </w:pPr>
          </w:p>
          <w:p w:rsidR="00884082" w:rsidRDefault="00884082" w:rsidP="00884082">
            <w:pPr>
              <w:pStyle w:val="Tabel-BrdtekstmedafstandptekstGaramond"/>
            </w:pPr>
            <w:r w:rsidRPr="00884082">
              <w:t>Hvis konsolideringsfradraget a</w:t>
            </w:r>
            <w:r w:rsidRPr="00884082">
              <w:t>f</w:t>
            </w:r>
            <w:r w:rsidRPr="00884082">
              <w:t>skaffes som foreslået, indebærer det i praksis</w:t>
            </w:r>
            <w:r>
              <w:t>,</w:t>
            </w:r>
            <w:r w:rsidRPr="00884082">
              <w:t xml:space="preserve"> at de ikke-erhvervsdrivende fondes kapital </w:t>
            </w:r>
            <w:r w:rsidRPr="00884082">
              <w:rPr>
                <w:i/>
                <w:iCs/>
              </w:rPr>
              <w:t xml:space="preserve">udhules </w:t>
            </w:r>
            <w:r w:rsidRPr="00884082">
              <w:t>over en årrække – i mo</w:t>
            </w:r>
            <w:r w:rsidRPr="00884082">
              <w:t>d</w:t>
            </w:r>
            <w:r w:rsidRPr="00884082">
              <w:t>strid med reglens oprindelige hensigt</w:t>
            </w:r>
            <w:r>
              <w:t xml:space="preserve">. </w:t>
            </w:r>
          </w:p>
          <w:p w:rsidR="00884082" w:rsidRDefault="00884082" w:rsidP="00884082">
            <w:pPr>
              <w:pStyle w:val="Tabel-BrdtekstmedafstandptekstGaramond"/>
            </w:pPr>
          </w:p>
          <w:p w:rsidR="00884082" w:rsidRDefault="00884082" w:rsidP="00884082">
            <w:pPr>
              <w:pStyle w:val="Tabel-BrdtekstmedafstandptekstGaramond"/>
              <w:rPr>
                <w:rFonts w:ascii="Verdana" w:hAnsi="Verdana" w:cs="Verdana"/>
                <w:color w:val="000000"/>
                <w:sz w:val="24"/>
                <w:szCs w:val="24"/>
              </w:rPr>
            </w:pPr>
            <w:r w:rsidRPr="00884082">
              <w:t>Udhulingen skyldes følgende:</w:t>
            </w:r>
            <w:r w:rsidRPr="00884082">
              <w:rPr>
                <w:rFonts w:ascii="Verdana" w:hAnsi="Verdana" w:cs="Verdana"/>
                <w:color w:val="000000"/>
                <w:sz w:val="24"/>
                <w:szCs w:val="24"/>
              </w:rPr>
              <w:t xml:space="preserve"> </w:t>
            </w:r>
          </w:p>
          <w:p w:rsidR="00135203" w:rsidRPr="00884082" w:rsidRDefault="00884082" w:rsidP="00135203">
            <w:pPr>
              <w:pStyle w:val="Listeafsnit"/>
              <w:numPr>
                <w:ilvl w:val="0"/>
                <w:numId w:val="13"/>
              </w:numPr>
              <w:ind w:left="511"/>
            </w:pPr>
            <w:r w:rsidRPr="00884082">
              <w:t xml:space="preserve">Fondene vil skulle uddele både alle deres renteindtægter </w:t>
            </w:r>
            <w:r w:rsidRPr="00135203">
              <w:rPr>
                <w:i/>
                <w:iCs/>
              </w:rPr>
              <w:t xml:space="preserve">og </w:t>
            </w:r>
            <w:r w:rsidRPr="00884082">
              <w:t>alle deres skattepligtige kursgevi</w:t>
            </w:r>
            <w:r w:rsidRPr="00884082">
              <w:t>n</w:t>
            </w:r>
            <w:r w:rsidRPr="00884082">
              <w:t xml:space="preserve">ster. </w:t>
            </w:r>
          </w:p>
          <w:p w:rsidR="00135203" w:rsidRDefault="00884082" w:rsidP="00135203">
            <w:pPr>
              <w:pStyle w:val="Listeafsnit"/>
              <w:numPr>
                <w:ilvl w:val="0"/>
                <w:numId w:val="13"/>
              </w:numPr>
              <w:ind w:left="511"/>
            </w:pPr>
            <w:r w:rsidRPr="00884082">
              <w:t>Hvis alle skattepligtige kursg</w:t>
            </w:r>
            <w:r w:rsidRPr="00884082">
              <w:t>e</w:t>
            </w:r>
            <w:r w:rsidRPr="00884082">
              <w:t xml:space="preserve">vinster uddeles, øges fondens kapital ikke så meget gennem </w:t>
            </w:r>
            <w:r w:rsidRPr="00884082">
              <w:lastRenderedPageBreak/>
              <w:t>kursstigninger som tilfældet e</w:t>
            </w:r>
            <w:r w:rsidRPr="00884082">
              <w:t>l</w:t>
            </w:r>
            <w:r w:rsidRPr="00884082">
              <w:t>lers ville være. Samtidig afskæres muligheden for valgfri konsol</w:t>
            </w:r>
            <w:r w:rsidRPr="00884082">
              <w:t>i</w:t>
            </w:r>
            <w:r w:rsidRPr="00884082">
              <w:t xml:space="preserve">dering. </w:t>
            </w:r>
          </w:p>
          <w:p w:rsidR="00884082" w:rsidRDefault="00884082" w:rsidP="00135203">
            <w:pPr>
              <w:pStyle w:val="Listeafsnit"/>
              <w:numPr>
                <w:ilvl w:val="0"/>
                <w:numId w:val="13"/>
              </w:numPr>
              <w:ind w:left="511"/>
            </w:pPr>
            <w:r w:rsidRPr="00884082">
              <w:t>På grund af den generelle infl</w:t>
            </w:r>
            <w:r w:rsidRPr="00884082">
              <w:t>a</w:t>
            </w:r>
            <w:r w:rsidRPr="00884082">
              <w:t>ti</w:t>
            </w:r>
            <w:r w:rsidR="00135203">
              <w:t>on i samfundet vil værdien af fon</w:t>
            </w:r>
            <w:r w:rsidRPr="00884082">
              <w:t xml:space="preserve">denes formue – og udbyttet heraf – gradvist blive mindre. </w:t>
            </w:r>
          </w:p>
          <w:p w:rsidR="00BD7FB9" w:rsidRDefault="00BD7FB9" w:rsidP="00BD7FB9">
            <w:pPr>
              <w:pStyle w:val="Tabel-BrdtekstmedafstandptekstGaramond"/>
            </w:pPr>
            <w:r>
              <w:t>En eventuel skattebetaling skal foretages enten med de midler, der ellers skulle uddeles (med r</w:t>
            </w:r>
            <w:r>
              <w:t>e</w:t>
            </w:r>
            <w:r>
              <w:t>ducerede/udeblevne uddelinger til følge) eller – efter ansøgning til fondsmyndigheden – ved brug af fondens bundne kapital, der således også i dette tilfælde risik</w:t>
            </w:r>
            <w:r>
              <w:t>e</w:t>
            </w:r>
            <w:r>
              <w:t>rer at blive reduceret betydeligt.</w:t>
            </w:r>
          </w:p>
          <w:p w:rsidR="00BD7FB9" w:rsidRDefault="00BD7FB9" w:rsidP="00BD7FB9">
            <w:pPr>
              <w:pStyle w:val="Tabel-BrdtekstmedafstandptekstGaramond"/>
            </w:pPr>
          </w:p>
          <w:p w:rsidR="00BD7FB9" w:rsidRDefault="001952F0" w:rsidP="00BD7FB9">
            <w:pPr>
              <w:pStyle w:val="Tabel-BrdtekstmedafstandptekstGaramond"/>
            </w:pPr>
            <w:r>
              <w:t>Finansrådet anfører, at</w:t>
            </w:r>
            <w:r w:rsidR="00BD7FB9">
              <w:t xml:space="preserve"> de ikke-erhvervsdrivende fondes formue således – uanset fondenes adfærd – langsomt blive udhulet til skade for de mange almennyttige fo</w:t>
            </w:r>
            <w:r w:rsidR="00BD7FB9">
              <w:t>r</w:t>
            </w:r>
            <w:r w:rsidR="00BD7FB9">
              <w:t>mål, som fondene støtter, og som derfor vil have behov for (yderl</w:t>
            </w:r>
            <w:r w:rsidR="00BD7FB9">
              <w:t>i</w:t>
            </w:r>
            <w:r w:rsidR="00BD7FB9">
              <w:t>gere) midler fra staten.</w:t>
            </w:r>
          </w:p>
          <w:p w:rsidR="008D74FB" w:rsidRDefault="008D74FB" w:rsidP="00BD7FB9">
            <w:pPr>
              <w:pStyle w:val="Tabel-BrdtekstmedafstandptekstGaramond"/>
            </w:pPr>
          </w:p>
          <w:p w:rsidR="008D74FB" w:rsidRDefault="008D74FB" w:rsidP="00BD7FB9">
            <w:pPr>
              <w:pStyle w:val="Tabel-BrdtekstmedafstandptekstGaramond"/>
              <w:rPr>
                <w:b/>
                <w:bCs/>
              </w:rPr>
            </w:pPr>
            <w:r w:rsidRPr="008D74FB">
              <w:rPr>
                <w:b/>
                <w:bCs/>
              </w:rPr>
              <w:t>Afsluttende bemærkninger om konsolideringsfradraget</w:t>
            </w:r>
          </w:p>
          <w:p w:rsidR="008D74FB" w:rsidRDefault="008D74FB" w:rsidP="008D74FB">
            <w:pPr>
              <w:pStyle w:val="Tabel-BrdtekstmedafstandptekstGaramond"/>
            </w:pPr>
            <w:r w:rsidRPr="008D74FB">
              <w:t>F</w:t>
            </w:r>
            <w:r w:rsidR="001952F0">
              <w:t>inansrådet anfører, at f</w:t>
            </w:r>
            <w:r w:rsidRPr="008D74FB">
              <w:t>ondene har indrettet sig i tillid til, at he</w:t>
            </w:r>
            <w:r>
              <w:t>n</w:t>
            </w:r>
            <w:r>
              <w:t>sættelser foretaget før 19. n</w:t>
            </w:r>
            <w:r>
              <w:t>o</w:t>
            </w:r>
            <w:r w:rsidRPr="008D74FB">
              <w:t>vember 2015 ville udløse kons</w:t>
            </w:r>
            <w:r w:rsidRPr="008D74FB">
              <w:t>o</w:t>
            </w:r>
            <w:r w:rsidRPr="008D74FB">
              <w:t>lideringsfradrag på tids</w:t>
            </w:r>
            <w:r>
              <w:t>punktet for den fakti</w:t>
            </w:r>
            <w:r w:rsidRPr="008D74FB">
              <w:t>ske uddeling. Som lovforslagets ikrafttrædelsesb</w:t>
            </w:r>
            <w:r w:rsidRPr="008D74FB">
              <w:t>e</w:t>
            </w:r>
            <w:r w:rsidRPr="008D74FB">
              <w:t>stemmelse er formuleret, vil de</w:t>
            </w:r>
            <w:r w:rsidRPr="008D74FB">
              <w:t>n</w:t>
            </w:r>
            <w:r w:rsidRPr="008D74FB">
              <w:t>ne forudsætning ikke være o</w:t>
            </w:r>
            <w:r w:rsidRPr="008D74FB">
              <w:t>p</w:t>
            </w:r>
            <w:r w:rsidRPr="008D74FB">
              <w:t xml:space="preserve">fyldt, hvilket ikke forekommer rimeligt. </w:t>
            </w:r>
          </w:p>
          <w:p w:rsidR="008D74FB" w:rsidRPr="008D74FB" w:rsidRDefault="008D74FB" w:rsidP="008D74FB">
            <w:pPr>
              <w:pStyle w:val="Tabel-BrdtekstmedafstandptekstGaramond"/>
            </w:pPr>
          </w:p>
          <w:p w:rsidR="008D74FB" w:rsidRDefault="008D74FB" w:rsidP="008D74FB">
            <w:pPr>
              <w:pStyle w:val="Tabel-BrdtekstmedafstandptekstGaramond"/>
            </w:pPr>
            <w:r w:rsidRPr="008D74FB">
              <w:t xml:space="preserve">Endelig </w:t>
            </w:r>
            <w:r w:rsidR="001952F0">
              <w:t>tilkendegiver Finansr</w:t>
            </w:r>
            <w:r w:rsidR="001952F0">
              <w:t>å</w:t>
            </w:r>
            <w:r w:rsidR="001952F0">
              <w:t xml:space="preserve">det, at </w:t>
            </w:r>
            <w:r w:rsidRPr="008D74FB">
              <w:t xml:space="preserve">det forventede provenu </w:t>
            </w:r>
            <w:r w:rsidR="001952F0">
              <w:lastRenderedPageBreak/>
              <w:t xml:space="preserve">må </w:t>
            </w:r>
            <w:r w:rsidRPr="008D74FB">
              <w:t>anses som særdeles usikkert, idet de foreslåede regler ikke nødvendigvis medfører øget ska</w:t>
            </w:r>
            <w:r w:rsidRPr="008D74FB">
              <w:t>t</w:t>
            </w:r>
            <w:r>
              <w:t>tebetaling fra fonde</w:t>
            </w:r>
            <w:r w:rsidRPr="008D74FB">
              <w:t xml:space="preserve">ne. Dog vil det betyde, at fondenes formue ikke øges over tid, men derimod vil blive udhulet, jf. ovenfor. </w:t>
            </w:r>
          </w:p>
          <w:p w:rsidR="008D74FB" w:rsidRPr="008D74FB" w:rsidRDefault="008D74FB" w:rsidP="008D74FB">
            <w:pPr>
              <w:pStyle w:val="Tabel-BrdtekstmedafstandptekstGaramond"/>
            </w:pPr>
          </w:p>
          <w:p w:rsidR="008D74FB" w:rsidRDefault="008D74FB" w:rsidP="008D74FB">
            <w:pPr>
              <w:pStyle w:val="Tabel-BrdtekstmedafstandptekstGaramond"/>
            </w:pPr>
            <w:r>
              <w:t>Finansrådet</w:t>
            </w:r>
            <w:r w:rsidRPr="008D74FB">
              <w:t xml:space="preserve"> opfordrer derfor kraftigt til, at </w:t>
            </w:r>
            <w:r>
              <w:t>konso</w:t>
            </w:r>
            <w:r w:rsidRPr="008D74FB">
              <w:t>lideringsfr</w:t>
            </w:r>
            <w:r w:rsidRPr="008D74FB">
              <w:t>a</w:t>
            </w:r>
            <w:r w:rsidRPr="008D74FB">
              <w:t>draget bevares for derved at give fondene mulighed for også i fremtiden at udfylde deres rolle til glæde for</w:t>
            </w:r>
            <w:r>
              <w:t xml:space="preserve"> samfundet og samt</w:t>
            </w:r>
            <w:r>
              <w:t>i</w:t>
            </w:r>
            <w:r>
              <w:t>dig mind</w:t>
            </w:r>
            <w:r w:rsidRPr="008D74FB">
              <w:t>ske behovet for statslig finansiering af en række aktivit</w:t>
            </w:r>
            <w:r w:rsidRPr="008D74FB">
              <w:t>e</w:t>
            </w:r>
            <w:r w:rsidRPr="008D74FB">
              <w:t>ter.</w:t>
            </w:r>
          </w:p>
          <w:p w:rsidR="00F037F6" w:rsidRDefault="00F037F6" w:rsidP="008D74FB">
            <w:pPr>
              <w:pStyle w:val="Tabel-BrdtekstmedafstandptekstGaramond"/>
            </w:pPr>
          </w:p>
          <w:p w:rsidR="00F037F6" w:rsidRPr="00F037F6" w:rsidRDefault="00F037F6" w:rsidP="008D74FB">
            <w:pPr>
              <w:pStyle w:val="Tabel-BrdtekstmedafstandptekstGaramond"/>
              <w:rPr>
                <w:b/>
              </w:rPr>
            </w:pPr>
            <w:r w:rsidRPr="00F037F6">
              <w:rPr>
                <w:b/>
              </w:rPr>
              <w:t>Overførselsreglen</w:t>
            </w:r>
          </w:p>
          <w:p w:rsidR="00DB3E9A" w:rsidRDefault="00F037F6" w:rsidP="00DB3E9A">
            <w:pPr>
              <w:pStyle w:val="Tabel-BrdtekstmedafstandptekstGaramond"/>
            </w:pPr>
            <w:r w:rsidRPr="00F037F6">
              <w:t>Finansrådet har noteret sig, at Redmark Statsautoriseret Revis</w:t>
            </w:r>
            <w:r w:rsidRPr="00F037F6">
              <w:t>i</w:t>
            </w:r>
            <w:r w:rsidR="00DB3E9A">
              <w:t>onspartner</w:t>
            </w:r>
            <w:r w:rsidRPr="00F037F6">
              <w:t>selskab har fremført, at forslaget indebærer, at selsk</w:t>
            </w:r>
            <w:r w:rsidRPr="00F037F6">
              <w:t>a</w:t>
            </w:r>
            <w:r w:rsidRPr="00F037F6">
              <w:t>ber ejet af fonde og visse fo</w:t>
            </w:r>
            <w:r w:rsidRPr="00F037F6">
              <w:t>r</w:t>
            </w:r>
            <w:r w:rsidRPr="00F037F6">
              <w:t>eninger fremover vil være skatt</w:t>
            </w:r>
            <w:r w:rsidRPr="00F037F6">
              <w:t>e</w:t>
            </w:r>
            <w:r w:rsidRPr="00F037F6">
              <w:t>pligtige af deres indkomst uanset,</w:t>
            </w:r>
            <w:r w:rsidR="00DB3E9A">
              <w:t xml:space="preserve"> </w:t>
            </w:r>
            <w:r w:rsidR="00DB3E9A" w:rsidRPr="00DB3E9A">
              <w:t>hvad dette overskud anvendes til. Dermed kan kun overskuddet e</w:t>
            </w:r>
            <w:r w:rsidR="00DB3E9A" w:rsidRPr="00DB3E9A">
              <w:t>f</w:t>
            </w:r>
            <w:r w:rsidR="00DB3E9A" w:rsidRPr="00DB3E9A">
              <w:t>ter skat udloddes som udbytte til fonden, der kan anvende dette beløb til uddeling til almenvelg</w:t>
            </w:r>
            <w:r w:rsidR="00DB3E9A" w:rsidRPr="00DB3E9A">
              <w:t>ø</w:t>
            </w:r>
            <w:r w:rsidR="00DB3E9A" w:rsidRPr="00DB3E9A">
              <w:t xml:space="preserve">rende eller almennyttige fonde </w:t>
            </w:r>
            <w:r w:rsidR="00DB3E9A">
              <w:t>formål. Men da skattefrie udby</w:t>
            </w:r>
            <w:r w:rsidR="00DB3E9A">
              <w:t>t</w:t>
            </w:r>
            <w:r w:rsidR="00DB3E9A" w:rsidRPr="00DB3E9A">
              <w:t>ter skal modregnes i fradragsb</w:t>
            </w:r>
            <w:r w:rsidR="00DB3E9A" w:rsidRPr="00DB3E9A">
              <w:t>e</w:t>
            </w:r>
            <w:r w:rsidR="00DB3E9A" w:rsidRPr="00DB3E9A">
              <w:t>rettigede al</w:t>
            </w:r>
            <w:r w:rsidR="00DB3E9A">
              <w:t>mennytti</w:t>
            </w:r>
            <w:r w:rsidR="00DB3E9A" w:rsidRPr="00DB3E9A">
              <w:t>ge uddelinger før fondes øvrige skattepligtige indkomst</w:t>
            </w:r>
            <w:r w:rsidR="00DB3E9A">
              <w:t>,</w:t>
            </w:r>
            <w:r w:rsidR="00DB3E9A" w:rsidRPr="00DB3E9A">
              <w:t xml:space="preserve"> medfører forslaget r</w:t>
            </w:r>
            <w:r w:rsidR="00DB3E9A" w:rsidRPr="00DB3E9A">
              <w:t>e</w:t>
            </w:r>
            <w:r w:rsidR="00DB3E9A" w:rsidRPr="00DB3E9A">
              <w:t>elt en dobbeltbeskatning af fo</w:t>
            </w:r>
            <w:r w:rsidR="00DB3E9A" w:rsidRPr="00DB3E9A">
              <w:t>n</w:t>
            </w:r>
            <w:r w:rsidR="00DB3E9A" w:rsidRPr="00DB3E9A">
              <w:t xml:space="preserve">des udbytter fra datterselskaber. </w:t>
            </w:r>
          </w:p>
          <w:p w:rsidR="00DB3E9A" w:rsidRPr="00DB3E9A" w:rsidRDefault="00DB3E9A" w:rsidP="00DB3E9A">
            <w:pPr>
              <w:pStyle w:val="Tabel-BrdtekstmedafstandptekstGaramond"/>
            </w:pPr>
          </w:p>
          <w:p w:rsidR="00F21F58" w:rsidRPr="000E5775" w:rsidRDefault="00DB3E9A" w:rsidP="00AF1CCA">
            <w:pPr>
              <w:pStyle w:val="Tabel-BrdtekstmedafstandptekstGaramond"/>
            </w:pPr>
            <w:r w:rsidRPr="00DB3E9A">
              <w:t>Finansrådet finder, at der bør t</w:t>
            </w:r>
            <w:r w:rsidRPr="00DB3E9A">
              <w:t>a</w:t>
            </w:r>
            <w:r w:rsidRPr="00DB3E9A">
              <w:t>ges hånd om denne problemsti</w:t>
            </w:r>
            <w:r w:rsidRPr="00DB3E9A">
              <w:t>l</w:t>
            </w:r>
            <w:r w:rsidRPr="00DB3E9A">
              <w:t>ling.</w:t>
            </w:r>
          </w:p>
        </w:tc>
        <w:tc>
          <w:tcPr>
            <w:tcW w:w="209" w:type="dxa"/>
            <w:shd w:val="clear" w:color="auto" w:fill="FFFFFF" w:themeFill="background1"/>
          </w:tcPr>
          <w:p w:rsidR="00C0001A" w:rsidRPr="00B5346F" w:rsidRDefault="00C0001A" w:rsidP="00122C71"/>
        </w:tc>
        <w:tc>
          <w:tcPr>
            <w:tcW w:w="3259" w:type="dxa"/>
            <w:tcBorders>
              <w:top w:val="single" w:sz="4" w:space="0" w:color="14143C" w:themeColor="accent1"/>
              <w:bottom w:val="single" w:sz="4" w:space="0" w:color="14143C" w:themeColor="accent1"/>
            </w:tcBorders>
            <w:shd w:val="clear" w:color="auto" w:fill="D2CED8"/>
          </w:tcPr>
          <w:p w:rsidR="00C0001A" w:rsidRDefault="00C0001A" w:rsidP="00122C71">
            <w:pPr>
              <w:pStyle w:val="Tabel-BrdtekstmedafstandptekstGaramond"/>
            </w:pPr>
          </w:p>
          <w:p w:rsidR="00080A5F" w:rsidRDefault="00080A5F" w:rsidP="00122C71">
            <w:pPr>
              <w:pStyle w:val="Tabel-BrdtekstmedafstandptekstGaramond"/>
            </w:pPr>
            <w:r>
              <w:t>Der henvises til kommentarerne til Akademikerne og CEPOS.</w:t>
            </w: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F14E60">
            <w:pPr>
              <w:pStyle w:val="Tabel-BrdtekstmedafstandptekstGaramond"/>
              <w:ind w:left="0"/>
            </w:pPr>
          </w:p>
          <w:p w:rsidR="00770040" w:rsidRDefault="00770040" w:rsidP="00122C71">
            <w:pPr>
              <w:pStyle w:val="Tabel-BrdtekstmedafstandptekstGaramond"/>
            </w:pPr>
          </w:p>
          <w:p w:rsidR="00770040" w:rsidRDefault="001A60E7" w:rsidP="00122C71">
            <w:pPr>
              <w:pStyle w:val="Tabel-BrdtekstmedafstandptekstGaramond"/>
            </w:pPr>
            <w:r>
              <w:t>Afsnit 3.1.2. indeholder en b</w:t>
            </w:r>
            <w:r>
              <w:t>e</w:t>
            </w:r>
            <w:r>
              <w:t>skrivelse af gældende ret.</w:t>
            </w:r>
            <w:r w:rsidR="00B869D6">
              <w:t xml:space="preserve"> Det fremgår også heraf, at den alte</w:t>
            </w:r>
            <w:r w:rsidR="00B869D6">
              <w:t>r</w:t>
            </w:r>
            <w:r w:rsidR="00B869D6">
              <w:t>native hensættelsesmulighed kræver et krav herom i en ko</w:t>
            </w:r>
            <w:r w:rsidR="00B869D6">
              <w:t>n</w:t>
            </w:r>
            <w:r w:rsidR="00B869D6">
              <w:t>geligt konfirmeret fundats.</w:t>
            </w: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894A28" w:rsidRDefault="00894A28" w:rsidP="00122C71">
            <w:pPr>
              <w:pStyle w:val="Tabel-BrdtekstmedafstandptekstGaramond"/>
            </w:pPr>
          </w:p>
          <w:p w:rsidR="00390CD6" w:rsidRDefault="00390CD6" w:rsidP="00122C71">
            <w:pPr>
              <w:pStyle w:val="Tabel-BrdtekstmedafstandptekstGaramond"/>
            </w:pPr>
            <w:r>
              <w:t>Med lovforslaget foreslås kons</w:t>
            </w:r>
            <w:r>
              <w:t>o</w:t>
            </w:r>
            <w:r>
              <w:t>lideringsfradraget ophævet. En konsolidering vil herefter skulle ske på basis af beskattede mi</w:t>
            </w:r>
            <w:r>
              <w:t>d</w:t>
            </w:r>
            <w:r>
              <w:t>ler. Den nedsatte selskabsskatt</w:t>
            </w:r>
            <w:r>
              <w:t>e</w:t>
            </w:r>
            <w:r>
              <w:t>sats vil derfor være medvirkende til, at øge mulighederne for ko</w:t>
            </w:r>
            <w:r>
              <w:t>n</w:t>
            </w:r>
            <w:r>
              <w:t>solidering. Dertil kommer at de fleste fonde har en del af deres formue placeret i datter- eller porteføljeaktier og har derfor også indirekte haft glæde af se</w:t>
            </w:r>
            <w:r>
              <w:t>l</w:t>
            </w:r>
            <w:r>
              <w:lastRenderedPageBreak/>
              <w:t>skabsskattelettelserne via højere udbytter og avancer.</w:t>
            </w: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044850" w:rsidP="00122C71">
            <w:pPr>
              <w:pStyle w:val="Tabel-BrdtekstmedafstandptekstGaramond"/>
            </w:pPr>
            <w:r>
              <w:t>Det er primært de erhvervsdr</w:t>
            </w:r>
            <w:r>
              <w:t>i</w:t>
            </w:r>
            <w:r>
              <w:t>vende fondes indkomstforhold, som er afgørende i forhold til provenuvurderingen vedrørende ophævelsen af konsolidering</w:t>
            </w:r>
            <w:r>
              <w:t>s</w:t>
            </w:r>
            <w:r>
              <w:t>fradraget.</w:t>
            </w: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F42D23" w:rsidP="00122C71">
            <w:pPr>
              <w:pStyle w:val="Tabel-BrdtekstmedafstandptekstGaramond"/>
            </w:pPr>
            <w:r>
              <w:t>Konsolideringsfradraget har igennem flere år været på listen over erhvervsstøtte via skattes</w:t>
            </w:r>
            <w:r>
              <w:t>y</w:t>
            </w:r>
            <w:r>
              <w:t>stemet – de såkaldte skatteudgi</w:t>
            </w:r>
            <w:r>
              <w:t>f</w:t>
            </w:r>
            <w:r>
              <w:t>ter.</w:t>
            </w: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45228C" w:rsidP="00122C71">
            <w:pPr>
              <w:pStyle w:val="Tabel-BrdtekstmedafstandptekstGaramond"/>
            </w:pPr>
            <w:r>
              <w:t>Det bemærkes, at lovforslaget ikke indebærer ændringer i den civilretlige regulering af fonde.</w:t>
            </w:r>
          </w:p>
          <w:p w:rsidR="0045228C" w:rsidRDefault="0045228C" w:rsidP="00122C71">
            <w:pPr>
              <w:pStyle w:val="Tabel-BrdtekstmedafstandptekstGaramond"/>
            </w:pPr>
          </w:p>
          <w:p w:rsidR="00770040" w:rsidRDefault="0045228C" w:rsidP="00122C71">
            <w:pPr>
              <w:pStyle w:val="Tabel-BrdtekstmedafstandptekstGaramond"/>
            </w:pPr>
            <w:r>
              <w:t>Endvidere bemærkes, at begræ</w:t>
            </w:r>
            <w:r>
              <w:t>n</w:t>
            </w:r>
            <w:r>
              <w:t>sede renteindtægter m.v. for i</w:t>
            </w:r>
            <w:r>
              <w:t>k</w:t>
            </w:r>
            <w:r>
              <w:lastRenderedPageBreak/>
              <w:t>ke-erhvervsdrivende fonde vil afspejle sig i en tilsvarende b</w:t>
            </w:r>
            <w:r>
              <w:t>e</w:t>
            </w:r>
            <w:r>
              <w:t>grænset skattepligtig indkomst.</w:t>
            </w: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E63348" w:rsidRDefault="00E63348" w:rsidP="00122C71">
            <w:pPr>
              <w:pStyle w:val="Tabel-BrdtekstmedafstandptekstGaramond"/>
            </w:pPr>
          </w:p>
          <w:p w:rsidR="00E63348" w:rsidRDefault="00E63348" w:rsidP="00122C71">
            <w:pPr>
              <w:pStyle w:val="Tabel-BrdtekstmedafstandptekstGaramond"/>
            </w:pPr>
          </w:p>
          <w:p w:rsidR="0045228C" w:rsidRDefault="0045228C" w:rsidP="00122C71">
            <w:pPr>
              <w:pStyle w:val="Tabel-BrdtekstmedafstandptekstGaramond"/>
            </w:pPr>
            <w:r>
              <w:t>Den foreslåede ophævelse af konsolideringsfradraget vil ind</w:t>
            </w:r>
            <w:r>
              <w:t>e</w:t>
            </w:r>
            <w:r>
              <w:t>bære, at fonde, der hensætter til konsolidering</w:t>
            </w:r>
            <w:r w:rsidR="007229C2">
              <w:t>,</w:t>
            </w:r>
            <w:r>
              <w:t xml:space="preserve"> fremfor at uddele i højere grad vil kunne komme i skatteposition med selskabsb</w:t>
            </w:r>
            <w:r>
              <w:t>e</w:t>
            </w:r>
            <w:r>
              <w:t>skatning til følge.</w:t>
            </w:r>
          </w:p>
          <w:p w:rsidR="00F518F1" w:rsidRDefault="00F518F1" w:rsidP="00122C71">
            <w:pPr>
              <w:pStyle w:val="Tabel-BrdtekstmedafstandptekstGaramond"/>
            </w:pPr>
          </w:p>
          <w:p w:rsidR="00F518F1" w:rsidRDefault="00F518F1" w:rsidP="00122C71">
            <w:pPr>
              <w:pStyle w:val="Tabel-BrdtekstmedafstandptekstGaramond"/>
            </w:pPr>
            <w:r>
              <w:t>Dette gælder, uanset om kons</w:t>
            </w:r>
            <w:r>
              <w:t>o</w:t>
            </w:r>
            <w:r>
              <w:t>lideringen følger af en pligt hertil efter fondenes fundats.</w:t>
            </w:r>
          </w:p>
          <w:p w:rsidR="00BC76DE" w:rsidRDefault="00BC76DE" w:rsidP="00122C71">
            <w:pPr>
              <w:pStyle w:val="Tabel-BrdtekstmedafstandptekstGaramond"/>
            </w:pPr>
          </w:p>
          <w:p w:rsidR="00770040" w:rsidRDefault="00770040" w:rsidP="0045228C">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8B506D" w:rsidRDefault="008B506D" w:rsidP="00624509">
            <w:pPr>
              <w:pStyle w:val="Tabel-BrdtekstmedafstandptekstGaramond"/>
            </w:pPr>
          </w:p>
          <w:p w:rsidR="008B506D" w:rsidRDefault="008B506D" w:rsidP="00624509">
            <w:pPr>
              <w:pStyle w:val="Tabel-BrdtekstmedafstandptekstGaramond"/>
            </w:pPr>
          </w:p>
          <w:p w:rsidR="008B506D" w:rsidRDefault="008B506D" w:rsidP="00624509">
            <w:pPr>
              <w:pStyle w:val="Tabel-BrdtekstmedafstandptekstGaramond"/>
            </w:pPr>
          </w:p>
          <w:p w:rsidR="008B506D" w:rsidRDefault="008B506D" w:rsidP="00624509">
            <w:pPr>
              <w:pStyle w:val="Tabel-BrdtekstmedafstandptekstGaramond"/>
            </w:pPr>
          </w:p>
          <w:p w:rsidR="00624509" w:rsidRDefault="00624509" w:rsidP="00624509">
            <w:pPr>
              <w:pStyle w:val="Tabel-BrdtekstmedafstandptekstGaramond"/>
            </w:pPr>
            <w:r>
              <w:t>Der henvises i øvrigt til ko</w:t>
            </w:r>
            <w:r>
              <w:t>m</w:t>
            </w:r>
            <w:r>
              <w:t xml:space="preserve">mentaren til </w:t>
            </w:r>
            <w:r w:rsidRPr="001465F2">
              <w:t>Novo Nordisk Fonden, Villum Fonden og Lundbeckfonden</w:t>
            </w:r>
            <w:r>
              <w:t>.</w:t>
            </w:r>
          </w:p>
          <w:p w:rsidR="00770040" w:rsidRDefault="00770040"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094B38" w:rsidRDefault="00094B38" w:rsidP="00122C71">
            <w:pPr>
              <w:pStyle w:val="Tabel-BrdtekstmedafstandptekstGaramond"/>
            </w:pPr>
          </w:p>
          <w:p w:rsidR="004150AE" w:rsidRDefault="004150AE" w:rsidP="00122C71">
            <w:pPr>
              <w:pStyle w:val="Tabel-BrdtekstmedafstandptekstGaramond"/>
            </w:pPr>
          </w:p>
          <w:p w:rsidR="00094B38" w:rsidRDefault="00094B38" w:rsidP="00122C71">
            <w:pPr>
              <w:pStyle w:val="Tabel-BrdtekstmedafstandptekstGaramond"/>
            </w:pPr>
            <w:r>
              <w:t>Der henvises til kommentaren til Carlsbergfondet.</w:t>
            </w:r>
          </w:p>
          <w:p w:rsidR="00887348" w:rsidRDefault="00887348" w:rsidP="00122C71">
            <w:pPr>
              <w:pStyle w:val="Tabel-BrdtekstmedafstandptekstGaramond"/>
            </w:pPr>
          </w:p>
          <w:p w:rsidR="00887348" w:rsidRDefault="00887348" w:rsidP="00122C71">
            <w:pPr>
              <w:pStyle w:val="Tabel-BrdtekstmedafstandptekstGaramond"/>
            </w:pPr>
          </w:p>
          <w:p w:rsidR="00887348" w:rsidRDefault="00887348" w:rsidP="00122C71">
            <w:pPr>
              <w:pStyle w:val="Tabel-BrdtekstmedafstandptekstGaramond"/>
            </w:pPr>
          </w:p>
          <w:p w:rsidR="00887348" w:rsidRDefault="00887348" w:rsidP="00122C71">
            <w:pPr>
              <w:pStyle w:val="Tabel-BrdtekstmedafstandptekstGaramond"/>
            </w:pPr>
          </w:p>
          <w:p w:rsidR="00887348" w:rsidRDefault="00887348" w:rsidP="00122C71">
            <w:pPr>
              <w:pStyle w:val="Tabel-BrdtekstmedafstandptekstGaramond"/>
            </w:pPr>
          </w:p>
          <w:p w:rsidR="00887348" w:rsidRDefault="00887348" w:rsidP="00122C71">
            <w:pPr>
              <w:pStyle w:val="Tabel-BrdtekstmedafstandptekstGaramond"/>
            </w:pPr>
          </w:p>
          <w:p w:rsidR="00887348" w:rsidRDefault="00887348" w:rsidP="00122C71">
            <w:pPr>
              <w:pStyle w:val="Tabel-BrdtekstmedafstandptekstGaramond"/>
            </w:pPr>
          </w:p>
          <w:p w:rsidR="00887348" w:rsidRDefault="00887348" w:rsidP="00122C71">
            <w:pPr>
              <w:pStyle w:val="Tabel-BrdtekstmedafstandptekstGaramond"/>
            </w:pPr>
          </w:p>
          <w:p w:rsidR="00887348" w:rsidRDefault="00887348" w:rsidP="00122C71">
            <w:pPr>
              <w:pStyle w:val="Tabel-BrdtekstmedafstandptekstGaramond"/>
            </w:pPr>
          </w:p>
          <w:p w:rsidR="00A04601" w:rsidRDefault="00A04601" w:rsidP="00122C71">
            <w:pPr>
              <w:pStyle w:val="Tabel-BrdtekstmedafstandptekstGaramond"/>
            </w:pPr>
          </w:p>
          <w:p w:rsidR="00770040" w:rsidRDefault="00887348" w:rsidP="00122C71">
            <w:pPr>
              <w:pStyle w:val="Tabel-BrdtekstmedafstandptekstGaramond"/>
            </w:pPr>
            <w:r>
              <w:t xml:space="preserve">Der henvises til kommentaren til </w:t>
            </w:r>
            <w:r w:rsidR="0052543C" w:rsidRPr="001465F2">
              <w:t>Deloitte, EY, KPMG og PwC</w:t>
            </w:r>
            <w:r w:rsidR="0052543C">
              <w:t xml:space="preserve">. </w:t>
            </w: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1E2BC7" w:rsidRDefault="001E2BC7" w:rsidP="00D94AA9">
            <w:pPr>
              <w:pStyle w:val="Tabel-BrdtekstmedafstandptekstGaramond"/>
            </w:pPr>
          </w:p>
          <w:p w:rsidR="00A04601" w:rsidRDefault="00A04601" w:rsidP="00D94AA9">
            <w:pPr>
              <w:pStyle w:val="Tabel-BrdtekstmedafstandptekstGaramond"/>
            </w:pPr>
          </w:p>
          <w:p w:rsidR="00D94AA9" w:rsidRDefault="00B505A8" w:rsidP="00D94AA9">
            <w:pPr>
              <w:pStyle w:val="Tabel-BrdtekstmedafstandptekstGaramond"/>
            </w:pPr>
            <w:r>
              <w:t xml:space="preserve">Regeringen </w:t>
            </w:r>
            <w:r w:rsidR="00D94AA9">
              <w:t>vil til 2. behandli</w:t>
            </w:r>
            <w:r w:rsidR="00D94AA9">
              <w:t>n</w:t>
            </w:r>
            <w:r w:rsidR="00D94AA9">
              <w:t>gen af lovforslaget stille et æ</w:t>
            </w:r>
            <w:r w:rsidR="00D94AA9">
              <w:t>n</w:t>
            </w:r>
            <w:r w:rsidR="00D94AA9">
              <w:t xml:space="preserve">dringsforslag </w:t>
            </w:r>
            <w:r w:rsidR="00D94AA9" w:rsidRPr="001465F2">
              <w:t>om, at den foresl</w:t>
            </w:r>
            <w:r w:rsidR="00D94AA9" w:rsidRPr="001465F2">
              <w:t>å</w:t>
            </w:r>
            <w:r w:rsidR="00D94AA9" w:rsidRPr="001465F2">
              <w:t>ede ophævelse af overførselsre</w:t>
            </w:r>
            <w:r w:rsidR="00D94AA9" w:rsidRPr="001465F2">
              <w:t>g</w:t>
            </w:r>
            <w:r w:rsidR="00D94AA9" w:rsidRPr="001465F2">
              <w:t xml:space="preserve">len udgår af </w:t>
            </w:r>
            <w:r w:rsidR="00D94AA9">
              <w:t>lov</w:t>
            </w:r>
            <w:r w:rsidR="00D94AA9" w:rsidRPr="001465F2">
              <w:t>forslaget</w:t>
            </w:r>
            <w:r w:rsidR="00D94AA9">
              <w:t xml:space="preserve">. </w:t>
            </w:r>
          </w:p>
          <w:p w:rsidR="00D94AA9" w:rsidRDefault="00D94AA9" w:rsidP="00D94AA9">
            <w:pPr>
              <w:pStyle w:val="Tabel-BrdtekstmedafstandptekstGaramond"/>
            </w:pPr>
          </w:p>
          <w:p w:rsidR="00770040" w:rsidRDefault="00D94AA9" w:rsidP="00D94AA9">
            <w:pPr>
              <w:pStyle w:val="Tabel-BrdtekstmedafstandptekstGaramond"/>
            </w:pPr>
            <w:r>
              <w:t xml:space="preserve">Baggrunden herfor er nærmere beskrevet i kommentaren til </w:t>
            </w:r>
            <w:r w:rsidRPr="001465F2">
              <w:t>D</w:t>
            </w:r>
            <w:r w:rsidRPr="001465F2">
              <w:t>e</w:t>
            </w:r>
            <w:r w:rsidRPr="001465F2">
              <w:t>loitte, EY, KPMG og PwC</w:t>
            </w:r>
            <w:r>
              <w:t>.</w:t>
            </w: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Default="00770040" w:rsidP="00122C71">
            <w:pPr>
              <w:pStyle w:val="Tabel-BrdtekstmedafstandptekstGaramond"/>
            </w:pPr>
          </w:p>
          <w:p w:rsidR="00770040" w:rsidRPr="00B5346F" w:rsidRDefault="00770040" w:rsidP="00122C71">
            <w:pPr>
              <w:pStyle w:val="Tabel-BrdtekstmedafstandptekstGaramond"/>
            </w:pPr>
          </w:p>
        </w:tc>
      </w:tr>
      <w:tr w:rsidR="00CD6450" w:rsidRPr="00B5346F" w:rsidTr="00C87589">
        <w:tc>
          <w:tcPr>
            <w:tcW w:w="2653" w:type="dxa"/>
            <w:tcBorders>
              <w:top w:val="single" w:sz="4" w:space="0" w:color="D1C5C3" w:themeColor="accent3"/>
              <w:bottom w:val="single" w:sz="4" w:space="0" w:color="D1C5C3" w:themeColor="accent3"/>
            </w:tcBorders>
            <w:shd w:val="clear" w:color="auto" w:fill="FBF9F9"/>
          </w:tcPr>
          <w:p w:rsidR="00CD6450" w:rsidRDefault="00CD6450" w:rsidP="009A36E0">
            <w:pPr>
              <w:pStyle w:val="Tabel-BrdtekstmedafstandptekstGaramond"/>
              <w:rPr>
                <w:i/>
              </w:rPr>
            </w:pPr>
            <w:r>
              <w:rPr>
                <w:i/>
              </w:rPr>
              <w:lastRenderedPageBreak/>
              <w:t>Frivillig</w:t>
            </w:r>
            <w:r w:rsidR="00452E59">
              <w:rPr>
                <w:i/>
              </w:rPr>
              <w:t>rådet</w:t>
            </w:r>
          </w:p>
        </w:tc>
        <w:tc>
          <w:tcPr>
            <w:tcW w:w="194" w:type="dxa"/>
            <w:shd w:val="clear" w:color="auto" w:fill="FFFFFF" w:themeFill="background1"/>
          </w:tcPr>
          <w:p w:rsidR="00CD6450" w:rsidRPr="00B5346F" w:rsidRDefault="00CD6450" w:rsidP="00122C71"/>
        </w:tc>
        <w:tc>
          <w:tcPr>
            <w:tcW w:w="3324" w:type="dxa"/>
            <w:tcBorders>
              <w:top w:val="single" w:sz="4" w:space="0" w:color="D1C5C3" w:themeColor="accent3"/>
              <w:bottom w:val="single" w:sz="4" w:space="0" w:color="D1C5C3" w:themeColor="accent3"/>
            </w:tcBorders>
            <w:shd w:val="clear" w:color="auto" w:fill="FBF9F9"/>
          </w:tcPr>
          <w:p w:rsidR="00156DF3" w:rsidRDefault="00156DF3" w:rsidP="00156DF3">
            <w:pPr>
              <w:pStyle w:val="Tabel-BrdtekstmedafstandptekstGaramond"/>
            </w:pPr>
            <w:r w:rsidRPr="00156DF3">
              <w:t>Frivilligrådet opfordre</w:t>
            </w:r>
            <w:r>
              <w:t>r</w:t>
            </w:r>
            <w:r w:rsidRPr="00156DF3">
              <w:t xml:space="preserve"> til</w:t>
            </w:r>
            <w:r>
              <w:t>, at r</w:t>
            </w:r>
            <w:r>
              <w:t>e</w:t>
            </w:r>
            <w:r>
              <w:t>geringen</w:t>
            </w:r>
            <w:r w:rsidRPr="00156DF3">
              <w:t xml:space="preserve"> genoverveje</w:t>
            </w:r>
            <w:r>
              <w:t xml:space="preserve">r </w:t>
            </w:r>
            <w:r w:rsidRPr="00156DF3">
              <w:t>lovforsl</w:t>
            </w:r>
            <w:r w:rsidRPr="00156DF3">
              <w:t>a</w:t>
            </w:r>
            <w:r w:rsidRPr="00156DF3">
              <w:t>g</w:t>
            </w:r>
            <w:r>
              <w:t>et.</w:t>
            </w:r>
          </w:p>
          <w:p w:rsidR="00156DF3" w:rsidRPr="00156DF3" w:rsidRDefault="00156DF3" w:rsidP="00156DF3">
            <w:pPr>
              <w:pStyle w:val="Tabel-BrdtekstmedafstandptekstGaramond"/>
            </w:pPr>
          </w:p>
          <w:p w:rsidR="00CD6450" w:rsidRDefault="00156DF3" w:rsidP="00156DF3">
            <w:pPr>
              <w:pStyle w:val="Tabel-BrdtekstmedafstandptekstGaramond"/>
            </w:pPr>
            <w:r w:rsidRPr="00156DF3">
              <w:t>Det frivillige Danmark beror i betydeligt omfang på bevillinger og tilskud fra almennyttige fonde for at kunne finansiere egne akt</w:t>
            </w:r>
            <w:r w:rsidRPr="00156DF3">
              <w:t>i</w:t>
            </w:r>
            <w:r w:rsidRPr="00156DF3">
              <w:t>viteter og indsatser. Fondsmi</w:t>
            </w:r>
            <w:r w:rsidRPr="00156DF3">
              <w:t>d</w:t>
            </w:r>
            <w:r w:rsidRPr="00156DF3">
              <w:t>lers betydning for det frivillige Danmark er blevet større i de s</w:t>
            </w:r>
            <w:r w:rsidRPr="00156DF3">
              <w:t>e</w:t>
            </w:r>
            <w:r w:rsidRPr="00156DF3">
              <w:t>nere år, hvor offent</w:t>
            </w:r>
            <w:r>
              <w:t>lige tilskud ikke har kunnet op</w:t>
            </w:r>
            <w:r w:rsidRPr="00156DF3">
              <w:t>retholdes, for eksempel som følge af den bet</w:t>
            </w:r>
            <w:r w:rsidRPr="00156DF3">
              <w:t>y</w:t>
            </w:r>
            <w:r w:rsidRPr="00156DF3">
              <w:t>delige reduktion i bevillinger fra satspuljen. Fondsmidler har en forholdsmæssig</w:t>
            </w:r>
            <w:r>
              <w:t>t</w:t>
            </w:r>
            <w:r w:rsidRPr="00156DF3">
              <w:t xml:space="preserve"> stor betydning for mindre og mellemstore frivi</w:t>
            </w:r>
            <w:r w:rsidRPr="00156DF3">
              <w:t>l</w:t>
            </w:r>
            <w:r>
              <w:t>lige or</w:t>
            </w:r>
            <w:r w:rsidRPr="00156DF3">
              <w:t>ganisationer, der ikke har en betydelig indsamlingsbase eller er modtagere af udlodninger fra Tips-Lotto puljer. Fondsbevilli</w:t>
            </w:r>
            <w:r w:rsidRPr="00156DF3">
              <w:t>n</w:t>
            </w:r>
            <w:r w:rsidRPr="00156DF3">
              <w:t>ger er for alle frivillige foreninger afgørende for fornyelse og udvi</w:t>
            </w:r>
            <w:r w:rsidRPr="00156DF3">
              <w:t>k</w:t>
            </w:r>
            <w:r w:rsidRPr="00156DF3">
              <w:t>ling af deres indsats.</w:t>
            </w:r>
          </w:p>
          <w:p w:rsidR="00156DF3" w:rsidRPr="00156DF3" w:rsidRDefault="00156DF3" w:rsidP="00156DF3">
            <w:pPr>
              <w:pStyle w:val="Tabel-BrdtekstmedafstandptekstGaramond"/>
              <w:rPr>
                <w:b/>
              </w:rPr>
            </w:pPr>
          </w:p>
          <w:p w:rsidR="00156DF3" w:rsidRPr="00156DF3" w:rsidRDefault="00156DF3" w:rsidP="00156DF3">
            <w:pPr>
              <w:pStyle w:val="Tabel-BrdtekstmedafstandptekstGaramond"/>
            </w:pPr>
            <w:r w:rsidRPr="00156DF3">
              <w:t>Det er derfor uheldigt, at Frivi</w:t>
            </w:r>
            <w:r w:rsidRPr="00156DF3">
              <w:t>l</w:t>
            </w:r>
            <w:r w:rsidRPr="00156DF3">
              <w:t>ligrådet ikke har været omfattet af høring</w:t>
            </w:r>
            <w:r>
              <w:t>en</w:t>
            </w:r>
            <w:r w:rsidRPr="00156DF3">
              <w:t xml:space="preserve"> </w:t>
            </w:r>
            <w:r>
              <w:t>over</w:t>
            </w:r>
            <w:r w:rsidRPr="00156DF3">
              <w:t xml:space="preserve"> lovforslaget. </w:t>
            </w:r>
          </w:p>
          <w:p w:rsidR="00156DF3" w:rsidRPr="00156DF3" w:rsidRDefault="00156DF3" w:rsidP="00156DF3">
            <w:pPr>
              <w:pStyle w:val="Tabel-BrdtekstmedafstandptekstGaramond"/>
            </w:pPr>
          </w:p>
          <w:p w:rsidR="00156DF3" w:rsidRDefault="00156DF3" w:rsidP="008E56B6">
            <w:pPr>
              <w:pStyle w:val="Tabel-BrdtekstmedafstandptekstGaramond"/>
            </w:pPr>
            <w:r w:rsidRPr="00156DF3">
              <w:t xml:space="preserve">Lovforslagets konsekvenser er </w:t>
            </w:r>
            <w:r w:rsidR="008E56B6">
              <w:t>e</w:t>
            </w:r>
            <w:r w:rsidR="008E56B6">
              <w:t>f</w:t>
            </w:r>
            <w:r w:rsidR="008E56B6">
              <w:t xml:space="preserve">ter Frivilligrådet opfattelse </w:t>
            </w:r>
            <w:r w:rsidRPr="00156DF3">
              <w:t>ikke tilstrækkeligt og korrekt belyst</w:t>
            </w:r>
            <w:r w:rsidR="008E56B6">
              <w:t xml:space="preserve">. </w:t>
            </w:r>
            <w:r w:rsidRPr="00156DF3">
              <w:t xml:space="preserve">Efter </w:t>
            </w:r>
            <w:r w:rsidR="008E56B6">
              <w:t>r</w:t>
            </w:r>
            <w:r w:rsidRPr="00156DF3">
              <w:t>ådets vurdering vil en gennemførelse af lovforslaget s</w:t>
            </w:r>
            <w:r w:rsidRPr="00156DF3">
              <w:t>å</w:t>
            </w:r>
            <w:r>
              <w:t>ledes indebæ</w:t>
            </w:r>
            <w:r w:rsidRPr="00156DF3">
              <w:t>re:</w:t>
            </w:r>
          </w:p>
          <w:p w:rsidR="008E56B6" w:rsidRPr="008E56B6" w:rsidRDefault="008E56B6" w:rsidP="008E56B6">
            <w:pPr>
              <w:pStyle w:val="Listeafsnit"/>
              <w:numPr>
                <w:ilvl w:val="0"/>
                <w:numId w:val="16"/>
              </w:numPr>
              <w:ind w:left="511"/>
              <w:rPr>
                <w:b/>
              </w:rPr>
            </w:pPr>
            <w:r w:rsidRPr="008E56B6">
              <w:t>Et væsentligt mindre samlet u</w:t>
            </w:r>
            <w:r w:rsidRPr="008E56B6">
              <w:t>d</w:t>
            </w:r>
            <w:r w:rsidRPr="008E56B6">
              <w:t>de</w:t>
            </w:r>
            <w:r>
              <w:t xml:space="preserve">lingsbeløb fra fondene </w:t>
            </w:r>
            <w:r w:rsidRPr="008E56B6">
              <w:t>end det, der anføres i lovforsla</w:t>
            </w:r>
            <w:r>
              <w:t xml:space="preserve">get. </w:t>
            </w:r>
          </w:p>
          <w:p w:rsidR="008E56B6" w:rsidRPr="008E56B6" w:rsidRDefault="008E56B6" w:rsidP="008E56B6">
            <w:pPr>
              <w:pStyle w:val="Listeafsnit"/>
              <w:ind w:left="511"/>
              <w:rPr>
                <w:b/>
              </w:rPr>
            </w:pPr>
          </w:p>
          <w:p w:rsidR="008E56B6" w:rsidRDefault="008E56B6" w:rsidP="008E56B6">
            <w:pPr>
              <w:pStyle w:val="Listeafsnit"/>
              <w:numPr>
                <w:ilvl w:val="0"/>
                <w:numId w:val="16"/>
              </w:numPr>
              <w:ind w:left="511"/>
            </w:pPr>
            <w:r>
              <w:t>En</w:t>
            </w:r>
            <w:r w:rsidRPr="008E56B6">
              <w:t xml:space="preserve"> væsentlig </w:t>
            </w:r>
            <w:r>
              <w:t xml:space="preserve">formindskelse af </w:t>
            </w:r>
            <w:r w:rsidRPr="008E56B6">
              <w:t>fondenes incitamenter til at for</w:t>
            </w:r>
            <w:r w:rsidRPr="008E56B6">
              <w:t>e</w:t>
            </w:r>
            <w:r w:rsidRPr="008E56B6">
              <w:lastRenderedPageBreak/>
              <w:t>tage uddelin</w:t>
            </w:r>
            <w:r>
              <w:t xml:space="preserve">ger, </w:t>
            </w:r>
            <w:r w:rsidRPr="008E56B6">
              <w:t>og der vil være mindre grund til at stifte nye fonde. Dermed vil adgangen for for</w:t>
            </w:r>
            <w:r>
              <w:t>eningsli</w:t>
            </w:r>
            <w:r w:rsidRPr="008E56B6">
              <w:t>vet til en differentieret finansiering af egne aktiviteter blive mind</w:t>
            </w:r>
            <w:r>
              <w:t>sket, og der vil kun</w:t>
            </w:r>
            <w:r w:rsidRPr="008E56B6">
              <w:t>ne forventes et øget pres for ko</w:t>
            </w:r>
            <w:r w:rsidRPr="008E56B6">
              <w:t>m</w:t>
            </w:r>
            <w:r w:rsidRPr="008E56B6">
              <w:t>pensation via offentlige midler.</w:t>
            </w:r>
          </w:p>
          <w:p w:rsidR="008E56B6" w:rsidRDefault="008E56B6" w:rsidP="008E56B6">
            <w:pPr>
              <w:pStyle w:val="Listeafsnit"/>
              <w:ind w:left="511"/>
            </w:pPr>
          </w:p>
          <w:p w:rsidR="008E56B6" w:rsidRPr="008E56B6" w:rsidRDefault="008E56B6" w:rsidP="008E56B6">
            <w:pPr>
              <w:pStyle w:val="Listeafsnit"/>
              <w:numPr>
                <w:ilvl w:val="0"/>
                <w:numId w:val="16"/>
              </w:numPr>
              <w:ind w:left="511"/>
            </w:pPr>
            <w:r w:rsidRPr="008E56B6">
              <w:t>Foreningslivets og det offentl</w:t>
            </w:r>
            <w:r w:rsidRPr="008E56B6">
              <w:t>i</w:t>
            </w:r>
            <w:r w:rsidRPr="008E56B6">
              <w:t>ges samspil med fondene vil bl</w:t>
            </w:r>
            <w:r w:rsidRPr="008E56B6">
              <w:t>i</w:t>
            </w:r>
            <w:r w:rsidRPr="008E56B6">
              <w:t xml:space="preserve">ve negativt påvirket. Fondene har i de senere år arbejdet med metoder som katalytisk filantropi </w:t>
            </w:r>
            <w:r>
              <w:t>og collec</w:t>
            </w:r>
            <w:r w:rsidRPr="008E56B6">
              <w:t>tive impact med det formål at skabe blivende sa</w:t>
            </w:r>
            <w:r w:rsidRPr="008E56B6">
              <w:t>m</w:t>
            </w:r>
            <w:r w:rsidRPr="008E56B6">
              <w:t>fundsmæssig effekt af fondsstø</w:t>
            </w:r>
            <w:r w:rsidRPr="008E56B6">
              <w:t>t</w:t>
            </w:r>
            <w:r>
              <w:t>te</w:t>
            </w:r>
            <w:r w:rsidRPr="008E56B6">
              <w:t>de initiativer. Dette har v</w:t>
            </w:r>
            <w:r w:rsidRPr="008E56B6">
              <w:t>æ</w:t>
            </w:r>
            <w:r w:rsidRPr="008E56B6">
              <w:t>sentligt forøget den samfund</w:t>
            </w:r>
            <w:r w:rsidRPr="008E56B6">
              <w:t>s</w:t>
            </w:r>
            <w:r w:rsidRPr="008E56B6">
              <w:t xml:space="preserve">mæssige værdi af de uddelte midler. Lovforslaget kan ikke undgå at ændre grundlaget for dette. </w:t>
            </w:r>
          </w:p>
          <w:p w:rsidR="008E56B6" w:rsidRDefault="008E56B6" w:rsidP="008E56B6">
            <w:pPr>
              <w:ind w:left="227"/>
            </w:pPr>
          </w:p>
          <w:p w:rsidR="008E56B6" w:rsidRDefault="008E56B6" w:rsidP="008E56B6">
            <w:pPr>
              <w:ind w:left="227"/>
            </w:pPr>
            <w:r w:rsidRPr="008E56B6">
              <w:t>Samlet finder Frivilligrådet, at der ikke er foretaget en tilstrækkelig grundig analyse af forslagets kons</w:t>
            </w:r>
            <w:r w:rsidRPr="008E56B6">
              <w:t>e</w:t>
            </w:r>
            <w:r w:rsidRPr="008E56B6">
              <w:t xml:space="preserve">kvenser, og </w:t>
            </w:r>
            <w:r>
              <w:t xml:space="preserve">rådet opfordrer </w:t>
            </w:r>
            <w:r w:rsidRPr="008E56B6">
              <w:t>derfor til</w:t>
            </w:r>
            <w:r>
              <w:t>,</w:t>
            </w:r>
            <w:r w:rsidRPr="008E56B6">
              <w:t xml:space="preserve"> at lovforslaget genovervejes</w:t>
            </w:r>
            <w:r>
              <w:t>.</w:t>
            </w:r>
          </w:p>
          <w:p w:rsidR="008E56B6" w:rsidRPr="008E56B6" w:rsidRDefault="008E56B6" w:rsidP="008E56B6">
            <w:pPr>
              <w:pStyle w:val="Listeafsnit"/>
              <w:ind w:left="284"/>
              <w:rPr>
                <w:b/>
              </w:rPr>
            </w:pPr>
          </w:p>
        </w:tc>
        <w:tc>
          <w:tcPr>
            <w:tcW w:w="209" w:type="dxa"/>
            <w:shd w:val="clear" w:color="auto" w:fill="FFFFFF" w:themeFill="background1"/>
          </w:tcPr>
          <w:p w:rsidR="00CD6450" w:rsidRPr="00B5346F" w:rsidRDefault="00CD6450" w:rsidP="00122C71"/>
        </w:tc>
        <w:tc>
          <w:tcPr>
            <w:tcW w:w="3259" w:type="dxa"/>
            <w:tcBorders>
              <w:top w:val="single" w:sz="4" w:space="0" w:color="14143C" w:themeColor="accent1"/>
              <w:bottom w:val="single" w:sz="4" w:space="0" w:color="14143C" w:themeColor="accent1"/>
            </w:tcBorders>
            <w:shd w:val="clear" w:color="auto" w:fill="D2CED8"/>
          </w:tcPr>
          <w:p w:rsidR="00B8028C" w:rsidRDefault="00B56588" w:rsidP="00B8028C">
            <w:pPr>
              <w:pStyle w:val="Tabel-BrdtekstmedafstandptekstGaramond"/>
            </w:pPr>
            <w:r>
              <w:t xml:space="preserve">Der henvises til kommentaren til </w:t>
            </w:r>
            <w:r w:rsidR="000B4F05">
              <w:t>Akademikerne</w:t>
            </w:r>
            <w:r w:rsidR="00B8028C">
              <w:t xml:space="preserve"> og </w:t>
            </w:r>
            <w:r w:rsidR="00B8028C" w:rsidRPr="0012378C">
              <w:t>Danmarks Forsknings- og Innovationspol</w:t>
            </w:r>
            <w:r w:rsidR="00B8028C" w:rsidRPr="0012378C">
              <w:t>i</w:t>
            </w:r>
            <w:r w:rsidR="00B8028C">
              <w:t>tiske Råd.</w:t>
            </w:r>
          </w:p>
          <w:p w:rsidR="00CA174A" w:rsidRDefault="00CA174A">
            <w:pPr>
              <w:pStyle w:val="Tabel-BrdtekstmedafstandptekstGaramond"/>
            </w:pPr>
          </w:p>
          <w:p w:rsidR="00CA174A" w:rsidRDefault="00CA174A">
            <w:pPr>
              <w:pStyle w:val="Tabel-BrdtekstmedafstandptekstGaramond"/>
            </w:pPr>
          </w:p>
          <w:p w:rsidR="00CA174A" w:rsidRDefault="00CA174A">
            <w:pPr>
              <w:pStyle w:val="Tabel-BrdtekstmedafstandptekstGaramond"/>
            </w:pPr>
          </w:p>
          <w:p w:rsidR="00CA174A" w:rsidRDefault="00CA174A">
            <w:pPr>
              <w:pStyle w:val="Tabel-BrdtekstmedafstandptekstGaramond"/>
            </w:pPr>
          </w:p>
          <w:p w:rsidR="00CA174A" w:rsidRDefault="00CA174A">
            <w:pPr>
              <w:pStyle w:val="Tabel-BrdtekstmedafstandptekstGaramond"/>
            </w:pPr>
          </w:p>
          <w:p w:rsidR="00CA174A" w:rsidRDefault="00CA174A">
            <w:pPr>
              <w:pStyle w:val="Tabel-BrdtekstmedafstandptekstGaramond"/>
            </w:pPr>
          </w:p>
          <w:p w:rsidR="00CA174A" w:rsidRDefault="00CA174A">
            <w:pPr>
              <w:pStyle w:val="Tabel-BrdtekstmedafstandptekstGaramond"/>
            </w:pPr>
          </w:p>
          <w:p w:rsidR="00CA174A" w:rsidRDefault="00CA174A">
            <w:pPr>
              <w:pStyle w:val="Tabel-BrdtekstmedafstandptekstGaramond"/>
            </w:pPr>
          </w:p>
          <w:p w:rsidR="00CA174A" w:rsidRDefault="00CA174A">
            <w:pPr>
              <w:pStyle w:val="Tabel-BrdtekstmedafstandptekstGaramond"/>
            </w:pPr>
          </w:p>
          <w:p w:rsidR="00CA174A" w:rsidRDefault="00CA174A">
            <w:pPr>
              <w:pStyle w:val="Tabel-BrdtekstmedafstandptekstGaramond"/>
            </w:pPr>
          </w:p>
          <w:p w:rsidR="00CA174A" w:rsidRDefault="00CA174A">
            <w:pPr>
              <w:pStyle w:val="Tabel-BrdtekstmedafstandptekstGaramond"/>
            </w:pPr>
          </w:p>
          <w:p w:rsidR="00CA174A" w:rsidRDefault="00CA174A">
            <w:pPr>
              <w:pStyle w:val="Tabel-BrdtekstmedafstandptekstGaramond"/>
            </w:pPr>
          </w:p>
          <w:p w:rsidR="00CA174A" w:rsidRDefault="00CA174A">
            <w:pPr>
              <w:pStyle w:val="Tabel-BrdtekstmedafstandptekstGaramond"/>
            </w:pPr>
          </w:p>
          <w:p w:rsidR="00CA174A" w:rsidRDefault="00CA174A">
            <w:pPr>
              <w:pStyle w:val="Tabel-BrdtekstmedafstandptekstGaramond"/>
            </w:pPr>
          </w:p>
          <w:p w:rsidR="00CA174A" w:rsidRDefault="00CA174A">
            <w:pPr>
              <w:pStyle w:val="Tabel-BrdtekstmedafstandptekstGaramond"/>
            </w:pPr>
          </w:p>
          <w:p w:rsidR="00CA174A" w:rsidRDefault="00CA174A">
            <w:pPr>
              <w:pStyle w:val="Tabel-BrdtekstmedafstandptekstGaramond"/>
            </w:pPr>
          </w:p>
          <w:p w:rsidR="00CA174A" w:rsidRDefault="00CA174A">
            <w:pPr>
              <w:pStyle w:val="Tabel-BrdtekstmedafstandptekstGaramond"/>
            </w:pPr>
          </w:p>
          <w:p w:rsidR="00CA174A" w:rsidRDefault="00CA174A">
            <w:pPr>
              <w:pStyle w:val="Tabel-BrdtekstmedafstandptekstGaramond"/>
            </w:pPr>
          </w:p>
          <w:p w:rsidR="00CA174A" w:rsidRDefault="00CA174A">
            <w:pPr>
              <w:pStyle w:val="Tabel-BrdtekstmedafstandptekstGaramond"/>
            </w:pPr>
          </w:p>
          <w:p w:rsidR="00CA174A" w:rsidRDefault="00CA174A">
            <w:pPr>
              <w:pStyle w:val="Tabel-BrdtekstmedafstandptekstGaramond"/>
            </w:pPr>
          </w:p>
          <w:p w:rsidR="00CA174A" w:rsidRDefault="00CA174A">
            <w:pPr>
              <w:pStyle w:val="Tabel-BrdtekstmedafstandptekstGaramond"/>
            </w:pPr>
          </w:p>
          <w:p w:rsidR="00CA174A" w:rsidRDefault="00CA174A">
            <w:pPr>
              <w:pStyle w:val="Tabel-BrdtekstmedafstandptekstGaramond"/>
            </w:pPr>
          </w:p>
          <w:p w:rsidR="00CA174A" w:rsidRDefault="00CA174A">
            <w:pPr>
              <w:pStyle w:val="Tabel-BrdtekstmedafstandptekstGaramond"/>
            </w:pPr>
            <w:r>
              <w:t>Der henvises til kommentaren til Dansk Erhverv.</w:t>
            </w:r>
          </w:p>
          <w:p w:rsidR="00CA174A" w:rsidRDefault="00CA174A">
            <w:pPr>
              <w:pStyle w:val="Tabel-BrdtekstmedafstandptekstGaramond"/>
            </w:pPr>
          </w:p>
          <w:p w:rsidR="00CA174A" w:rsidRDefault="00CA174A">
            <w:pPr>
              <w:pStyle w:val="Tabel-BrdtekstmedafstandptekstGaramond"/>
            </w:pPr>
          </w:p>
          <w:p w:rsidR="00CD6450" w:rsidRDefault="00CD6450">
            <w:pPr>
              <w:pStyle w:val="Tabel-BrdtekstmedafstandptekstGaramond"/>
            </w:pPr>
          </w:p>
        </w:tc>
      </w:tr>
      <w:tr w:rsidR="009A36E0" w:rsidRPr="00B5346F" w:rsidTr="00C87589">
        <w:tc>
          <w:tcPr>
            <w:tcW w:w="2653" w:type="dxa"/>
            <w:tcBorders>
              <w:top w:val="single" w:sz="4" w:space="0" w:color="D1C5C3" w:themeColor="accent3"/>
              <w:bottom w:val="single" w:sz="4" w:space="0" w:color="D1C5C3" w:themeColor="accent3"/>
            </w:tcBorders>
            <w:shd w:val="clear" w:color="auto" w:fill="FBF9F9"/>
          </w:tcPr>
          <w:p w:rsidR="009A36E0" w:rsidRPr="00600E3E" w:rsidRDefault="009A36E0" w:rsidP="009A36E0">
            <w:pPr>
              <w:pStyle w:val="Tabel-BrdtekstmedafstandptekstGaramond"/>
              <w:rPr>
                <w:i/>
              </w:rPr>
            </w:pPr>
            <w:r>
              <w:rPr>
                <w:i/>
              </w:rPr>
              <w:lastRenderedPageBreak/>
              <w:t>FSR - Danske Revisorer</w:t>
            </w:r>
          </w:p>
        </w:tc>
        <w:tc>
          <w:tcPr>
            <w:tcW w:w="194" w:type="dxa"/>
            <w:shd w:val="clear" w:color="auto" w:fill="FFFFFF" w:themeFill="background1"/>
          </w:tcPr>
          <w:p w:rsidR="009A36E0" w:rsidRPr="00B5346F" w:rsidRDefault="009A36E0" w:rsidP="00122C71"/>
        </w:tc>
        <w:tc>
          <w:tcPr>
            <w:tcW w:w="3324" w:type="dxa"/>
            <w:tcBorders>
              <w:top w:val="single" w:sz="4" w:space="0" w:color="D1C5C3" w:themeColor="accent3"/>
              <w:bottom w:val="single" w:sz="4" w:space="0" w:color="D1C5C3" w:themeColor="accent3"/>
            </w:tcBorders>
            <w:shd w:val="clear" w:color="auto" w:fill="FBF9F9"/>
          </w:tcPr>
          <w:p w:rsidR="00D2248C" w:rsidRPr="00D2248C" w:rsidRDefault="00D2248C" w:rsidP="00D2248C">
            <w:pPr>
              <w:pStyle w:val="Tabel-BrdtekstmedafstandptekstGaramond"/>
            </w:pPr>
            <w:r>
              <w:t>FSR bemærker indledningsvist</w:t>
            </w:r>
            <w:r w:rsidRPr="00D2248C">
              <w:t xml:space="preserve">, at </w:t>
            </w:r>
            <w:r>
              <w:t>en</w:t>
            </w:r>
            <w:r w:rsidRPr="00D2248C">
              <w:t xml:space="preserve"> høringsfrist </w:t>
            </w:r>
            <w:r>
              <w:t>på en uge</w:t>
            </w:r>
            <w:r w:rsidRPr="00D2248C">
              <w:t xml:space="preserve"> er ur</w:t>
            </w:r>
            <w:r w:rsidRPr="00D2248C">
              <w:t>i</w:t>
            </w:r>
            <w:r w:rsidRPr="00D2248C">
              <w:t>melig kort henset til de betydelige konsekvenser, lovforslaget får for de berørte fonde. Den ekstremt korte høringsfrist indebærer en åbenbar risiko for, at konsekve</w:t>
            </w:r>
            <w:r w:rsidRPr="00D2248C">
              <w:t>n</w:t>
            </w:r>
            <w:r w:rsidRPr="00D2248C">
              <w:t>serne af lovforslaget ikke bliver ordentligt belyst og klarlagt, hvi</w:t>
            </w:r>
            <w:r w:rsidRPr="00D2248C">
              <w:t>l</w:t>
            </w:r>
            <w:r w:rsidRPr="00D2248C">
              <w:t>ket er et retssikkerhedsmæssigt problem.</w:t>
            </w:r>
          </w:p>
          <w:p w:rsidR="0012378C" w:rsidRDefault="0012378C" w:rsidP="00D2248C">
            <w:pPr>
              <w:pStyle w:val="Tabel-BrdtekstmedafstandptekstGaramond"/>
            </w:pPr>
          </w:p>
          <w:p w:rsidR="00D2248C" w:rsidRDefault="00D2248C" w:rsidP="00D2248C">
            <w:pPr>
              <w:pStyle w:val="Tabel-BrdtekstmedafstandptekstGaramond"/>
            </w:pPr>
            <w:r w:rsidRPr="00D2248C">
              <w:t>Lovforslaget vil alt andet lige fo</w:t>
            </w:r>
            <w:r w:rsidRPr="00D2248C">
              <w:t>r</w:t>
            </w:r>
            <w:r w:rsidRPr="00D2248C">
              <w:lastRenderedPageBreak/>
              <w:t>ringe fondenes mulighed for at foretage almennyttige uddelinger til forskning, kultur etc., ligesom det vil forringe fondenes muli</w:t>
            </w:r>
            <w:r w:rsidRPr="00D2248C">
              <w:t>g</w:t>
            </w:r>
            <w:r w:rsidRPr="00D2248C">
              <w:t>hed for at foretage konsolidering, herunder inflationssikring, af fondsformuen. Dette kan navnlig have betydning for erhvervsdr</w:t>
            </w:r>
            <w:r w:rsidRPr="00D2248C">
              <w:t>i</w:t>
            </w:r>
            <w:r w:rsidRPr="00D2248C">
              <w:t>vende fonde, hvis formål er at bevare virksomheden.</w:t>
            </w:r>
          </w:p>
          <w:p w:rsidR="004B1832" w:rsidRPr="004B1832" w:rsidRDefault="004B1832" w:rsidP="004B1832">
            <w:pPr>
              <w:pStyle w:val="Tabel-BrdtekstmedafstandptekstGaramond"/>
            </w:pPr>
          </w:p>
          <w:p w:rsidR="004B1832" w:rsidRDefault="004B1832" w:rsidP="004B1832">
            <w:pPr>
              <w:pStyle w:val="Tabel-BrdtekstmedafstandptekstGaramond"/>
            </w:pPr>
            <w:r w:rsidRPr="004B1832">
              <w:t>Reelt medfører forslaget derfor, at det årlige skatteprovenu på 200 mio.kr., som forslaget forventes at indbringe, i stort omfang vil blive opnået på bekostning af de almennyttige og almenvelgørende aktiviteter, som fondene med d</w:t>
            </w:r>
            <w:r w:rsidRPr="004B1832">
              <w:t>e</w:t>
            </w:r>
            <w:r w:rsidRPr="004B1832">
              <w:t>res uddelinger støtter, jf. nærmere i det følgende.</w:t>
            </w:r>
          </w:p>
          <w:p w:rsidR="008E2F02" w:rsidRDefault="008E2F02" w:rsidP="004B1832">
            <w:pPr>
              <w:pStyle w:val="Tabel-BrdtekstmedafstandptekstGaramond"/>
            </w:pPr>
          </w:p>
          <w:p w:rsidR="008E2F02" w:rsidRPr="008E2F02" w:rsidRDefault="008E2F02" w:rsidP="004B1832">
            <w:pPr>
              <w:pStyle w:val="Tabel-BrdtekstmedafstandptekstGaramond"/>
              <w:rPr>
                <w:b/>
              </w:rPr>
            </w:pPr>
            <w:r w:rsidRPr="008E2F02">
              <w:rPr>
                <w:b/>
              </w:rPr>
              <w:t>Ophævelse af konsolidering</w:t>
            </w:r>
            <w:r w:rsidRPr="008E2F02">
              <w:rPr>
                <w:b/>
              </w:rPr>
              <w:t>s</w:t>
            </w:r>
            <w:r w:rsidRPr="008E2F02">
              <w:rPr>
                <w:b/>
              </w:rPr>
              <w:t>fradraget</w:t>
            </w:r>
          </w:p>
          <w:p w:rsidR="008E2F02" w:rsidRDefault="008E2F02" w:rsidP="008E2F02">
            <w:pPr>
              <w:pStyle w:val="Tabel-BrdtekstmedafstandptekstGaramond"/>
            </w:pPr>
            <w:r w:rsidRPr="008E2F02">
              <w:t>F</w:t>
            </w:r>
            <w:r w:rsidR="00243D6B">
              <w:t>SR anfører, at f</w:t>
            </w:r>
            <w:r w:rsidRPr="008E2F02">
              <w:t>ormålet me</w:t>
            </w:r>
            <w:r w:rsidR="00DB650D">
              <w:t xml:space="preserve">d </w:t>
            </w:r>
            <w:r>
              <w:t>konsoliderings</w:t>
            </w:r>
            <w:r w:rsidRPr="008E2F02">
              <w:t xml:space="preserve">fradraget </w:t>
            </w:r>
            <w:r w:rsidR="00DB650D">
              <w:t>var</w:t>
            </w:r>
            <w:r w:rsidRPr="008E2F02">
              <w:t xml:space="preserve"> at sikre, at fondenes grundkapital ikke blev udhulet, da fondene i modsætning til selskaber ikke har mulighed for at få tilført kapital fra en aktionærkreds. Samtidig var formålet at tilskynde fondene til at foretage almennyttige udd</w:t>
            </w:r>
            <w:r w:rsidRPr="008E2F02">
              <w:t>e</w:t>
            </w:r>
            <w:r w:rsidRPr="008E2F02">
              <w:t>linger. Uddelinger til almennytt</w:t>
            </w:r>
            <w:r w:rsidRPr="008E2F02">
              <w:t>i</w:t>
            </w:r>
            <w:r w:rsidRPr="008E2F02">
              <w:t xml:space="preserve">ge formål kan vel betragtes som en ”frivillig/øremærket” betaling af skat i det omfang, disse formål ellers ville blive varetaget/betalt af det offentlige. </w:t>
            </w:r>
          </w:p>
          <w:p w:rsidR="008E2F02" w:rsidRPr="008E2F02" w:rsidRDefault="008E2F02" w:rsidP="008E2F02">
            <w:pPr>
              <w:pStyle w:val="Tabel-BrdtekstmedafstandptekstGaramond"/>
            </w:pPr>
          </w:p>
          <w:p w:rsidR="008E2F02" w:rsidRDefault="00243D6B" w:rsidP="008E2F02">
            <w:pPr>
              <w:pStyle w:val="Tabel-BrdtekstmedafstandptekstGaramond"/>
            </w:pPr>
            <w:r>
              <w:t xml:space="preserve">FSR </w:t>
            </w:r>
            <w:r w:rsidR="008E2F02" w:rsidRPr="008E2F02">
              <w:t>bemærke</w:t>
            </w:r>
            <w:r>
              <w:t>r</w:t>
            </w:r>
            <w:r w:rsidR="008E2F02" w:rsidRPr="008E2F02">
              <w:t>, at selskaber i modsætning til fonde kan få ska</w:t>
            </w:r>
            <w:r w:rsidR="008E2F02" w:rsidRPr="008E2F02">
              <w:t>t</w:t>
            </w:r>
            <w:r w:rsidR="008E2F02" w:rsidRPr="008E2F02">
              <w:t>tefri kapitalindskud fra aktionæ</w:t>
            </w:r>
            <w:r w:rsidR="008E2F02" w:rsidRPr="008E2F02">
              <w:t>r</w:t>
            </w:r>
            <w:r w:rsidR="008E2F02" w:rsidRPr="008E2F02">
              <w:t>kredsen</w:t>
            </w:r>
            <w:r w:rsidR="00C14D7D">
              <w:t>.</w:t>
            </w:r>
            <w:r w:rsidR="008E2F02" w:rsidRPr="008E2F02">
              <w:t xml:space="preserve"> Denne mulighed er ikke til</w:t>
            </w:r>
            <w:r w:rsidR="008E2F02">
              <w:t xml:space="preserve"> </w:t>
            </w:r>
            <w:r w:rsidR="008E2F02" w:rsidRPr="008E2F02">
              <w:t xml:space="preserve">stede for fonde, da fonde jo </w:t>
            </w:r>
            <w:r w:rsidR="008E2F02" w:rsidRPr="008E2F02">
              <w:lastRenderedPageBreak/>
              <w:t>ikke har nogen ejerkreds.</w:t>
            </w:r>
          </w:p>
          <w:p w:rsidR="008E2F02" w:rsidRDefault="008E2F02" w:rsidP="004B1832">
            <w:pPr>
              <w:pStyle w:val="Tabel-BrdtekstmedafstandptekstGaramond"/>
            </w:pPr>
          </w:p>
          <w:p w:rsidR="002C5004" w:rsidRDefault="002C5004" w:rsidP="00C14D7D">
            <w:pPr>
              <w:pStyle w:val="Tabel-BrdtekstmedafstandptekstGaramond"/>
            </w:pPr>
            <w:r w:rsidRPr="002C5004">
              <w:t>Samtidig bemærkes, at det opri</w:t>
            </w:r>
            <w:r w:rsidRPr="002C5004">
              <w:t>n</w:t>
            </w:r>
            <w:r w:rsidRPr="002C5004">
              <w:t xml:space="preserve">delige formål med reglen </w:t>
            </w:r>
            <w:r>
              <w:t>des</w:t>
            </w:r>
            <w:r>
              <w:t>u</w:t>
            </w:r>
            <w:r>
              <w:t>den</w:t>
            </w:r>
            <w:r w:rsidRPr="002C5004">
              <w:t xml:space="preserve"> var at tilskynde til almenny</w:t>
            </w:r>
            <w:r w:rsidRPr="002C5004">
              <w:t>t</w:t>
            </w:r>
            <w:r w:rsidRPr="002C5004">
              <w:t xml:space="preserve">tige uddelinger. De foreslåede regler betyder, at hvis fondene ønsker en konsolidering på 20 </w:t>
            </w:r>
            <w:r>
              <w:t>pct.</w:t>
            </w:r>
            <w:r w:rsidRPr="002C5004">
              <w:t xml:space="preserve"> af indtjeningen (svarende til det nuværende konsolidering</w:t>
            </w:r>
            <w:r w:rsidRPr="002C5004">
              <w:t>s</w:t>
            </w:r>
            <w:r w:rsidRPr="002C5004">
              <w:t xml:space="preserve">fradrag), skal fondene reducere deres almennyttige uddelinger med 7 </w:t>
            </w:r>
            <w:r>
              <w:t>pct.</w:t>
            </w:r>
            <w:r w:rsidRPr="002C5004">
              <w:t xml:space="preserve"> i forhold til nu for at bevare denne konsolideringsgrad. </w:t>
            </w:r>
          </w:p>
          <w:p w:rsidR="008E2F02" w:rsidRDefault="008E2F02" w:rsidP="004B1832">
            <w:pPr>
              <w:pStyle w:val="Tabel-BrdtekstmedafstandptekstGaramond"/>
            </w:pPr>
          </w:p>
          <w:p w:rsidR="002C5004" w:rsidRDefault="002C5004" w:rsidP="004B1832">
            <w:pPr>
              <w:pStyle w:val="Tabel-BrdtekstmedafstandptekstGaramond"/>
            </w:pPr>
            <w:r w:rsidRPr="002C5004">
              <w:t>Ved en evt. fjernelse af konsol</w:t>
            </w:r>
            <w:r w:rsidRPr="002C5004">
              <w:t>i</w:t>
            </w:r>
            <w:r w:rsidRPr="002C5004">
              <w:t>deringsfradraget fjernes også ti</w:t>
            </w:r>
            <w:r w:rsidRPr="002C5004">
              <w:t>l</w:t>
            </w:r>
            <w:r w:rsidRPr="002C5004">
              <w:t>skyndelsen til, at der sker udlo</w:t>
            </w:r>
            <w:r w:rsidRPr="002C5004">
              <w:t>d</w:t>
            </w:r>
            <w:r w:rsidRPr="002C5004">
              <w:t>ning af midler fra virksomheder ejet af erhvervsdrivende fonde til den erhvervsdrivende fond til brug for almennyttige og alme</w:t>
            </w:r>
            <w:r w:rsidRPr="002C5004">
              <w:t>n</w:t>
            </w:r>
            <w:r w:rsidRPr="002C5004">
              <w:t>velgørende uddelinger, idet da</w:t>
            </w:r>
            <w:r w:rsidRPr="002C5004">
              <w:t>t</w:t>
            </w:r>
            <w:r w:rsidRPr="002C5004">
              <w:t>tervirksomhederne i så fald kan ønske at bevare f.eks. forskning</w:t>
            </w:r>
            <w:r w:rsidRPr="002C5004">
              <w:t>s</w:t>
            </w:r>
            <w:r w:rsidRPr="002C5004">
              <w:t>indsatsen i dattervirksomhederne. De betydelige midler, der uddeles fra de større danske fonde til u</w:t>
            </w:r>
            <w:r w:rsidRPr="002C5004">
              <w:t>n</w:t>
            </w:r>
            <w:r w:rsidRPr="002C5004">
              <w:t>derstøttelse af forskning, kan s</w:t>
            </w:r>
            <w:r w:rsidRPr="002C5004">
              <w:t>å</w:t>
            </w:r>
            <w:r w:rsidRPr="002C5004">
              <w:t>ledes risikere at blive formindsket betydeligt.</w:t>
            </w:r>
          </w:p>
          <w:p w:rsidR="002C5004" w:rsidRDefault="002C5004" w:rsidP="004B1832">
            <w:pPr>
              <w:pStyle w:val="Tabel-BrdtekstmedafstandptekstGaramond"/>
            </w:pPr>
          </w:p>
          <w:p w:rsidR="002C5004" w:rsidRDefault="002C5004" w:rsidP="002C5004">
            <w:pPr>
              <w:pStyle w:val="Tabel-BrdtekstmedafstandptekstGaramond"/>
            </w:pPr>
            <w:r w:rsidRPr="002C5004">
              <w:t>Det fremgår endvidere af lo</w:t>
            </w:r>
            <w:r w:rsidRPr="002C5004">
              <w:t>v</w:t>
            </w:r>
            <w:r w:rsidRPr="002C5004">
              <w:t>forslaget, at konsolidering af fondenes formue ikke kan me</w:t>
            </w:r>
            <w:r w:rsidRPr="002C5004">
              <w:t>d</w:t>
            </w:r>
            <w:r w:rsidRPr="002C5004">
              <w:t>regnes som indkomstanvendelse for fonde, der anvender reglerne om realisationsbeskatning af po</w:t>
            </w:r>
            <w:r w:rsidRPr="002C5004">
              <w:t>r</w:t>
            </w:r>
            <w:r w:rsidRPr="002C5004">
              <w:t>teføljeaktier, jf. fondsbeska</w:t>
            </w:r>
            <w:r w:rsidRPr="002C5004">
              <w:t>t</w:t>
            </w:r>
            <w:r w:rsidRPr="002C5004">
              <w:t>ningslovens § 3, stk.3, idet ko</w:t>
            </w:r>
            <w:r w:rsidRPr="002C5004">
              <w:t>n</w:t>
            </w:r>
            <w:r w:rsidRPr="002C5004">
              <w:t>solidering af fondsformuen efter lovforslagets § 1, nr. 1 ikke læ</w:t>
            </w:r>
            <w:r w:rsidRPr="002C5004">
              <w:t>n</w:t>
            </w:r>
            <w:r w:rsidRPr="002C5004">
              <w:t>gere kan betragtes som in</w:t>
            </w:r>
            <w:r w:rsidRPr="002C5004">
              <w:t>d</w:t>
            </w:r>
            <w:r w:rsidRPr="002C5004">
              <w:t xml:space="preserve">komstanvendelse. Dette er meget </w:t>
            </w:r>
            <w:r w:rsidRPr="002C5004">
              <w:lastRenderedPageBreak/>
              <w:t>uheldigt. Grunden til, at fonde har mulighed for at vælge realis</w:t>
            </w:r>
            <w:r w:rsidRPr="002C5004">
              <w:t>a</w:t>
            </w:r>
            <w:r w:rsidRPr="002C5004">
              <w:t>tionsbeskatning af porteføljeakt</w:t>
            </w:r>
            <w:r w:rsidRPr="002C5004">
              <w:t>i</w:t>
            </w:r>
            <w:r w:rsidRPr="002C5004">
              <w:t>er er, at lagerbeskatning vil kunne tvinge fonde til at foretage udd</w:t>
            </w:r>
            <w:r w:rsidRPr="002C5004">
              <w:t>e</w:t>
            </w:r>
            <w:r w:rsidRPr="002C5004">
              <w:t>linger alene for at eliminere b</w:t>
            </w:r>
            <w:r w:rsidRPr="002C5004">
              <w:t>e</w:t>
            </w:r>
            <w:r w:rsidRPr="002C5004">
              <w:t>skatning af urealiserede kursg</w:t>
            </w:r>
            <w:r w:rsidRPr="002C5004">
              <w:t>e</w:t>
            </w:r>
            <w:r w:rsidRPr="002C5004">
              <w:t>vinster (der jo ikke nødvendigvis efterfølgende vil blive realiseret), og dermed udhule fondens fo</w:t>
            </w:r>
            <w:r w:rsidRPr="002C5004">
              <w:t>r</w:t>
            </w:r>
            <w:r w:rsidRPr="002C5004">
              <w:t>mue. Det er derfor vigtigt, at m</w:t>
            </w:r>
            <w:r w:rsidRPr="002C5004">
              <w:t>u</w:t>
            </w:r>
            <w:r w:rsidRPr="002C5004">
              <w:t>ligheden for realisationsbeska</w:t>
            </w:r>
            <w:r w:rsidRPr="002C5004">
              <w:t>t</w:t>
            </w:r>
            <w:r w:rsidRPr="002C5004">
              <w:t>ning af porteføljeaktier bevares, også for fonde der i et vist o</w:t>
            </w:r>
            <w:r w:rsidRPr="002C5004">
              <w:t>m</w:t>
            </w:r>
            <w:r w:rsidRPr="002C5004">
              <w:t>fang konsoliderer formuen. He</w:t>
            </w:r>
            <w:r w:rsidRPr="002C5004">
              <w:t>r</w:t>
            </w:r>
            <w:r w:rsidRPr="002C5004">
              <w:t>til kommer, at en fond, som tvi</w:t>
            </w:r>
            <w:r w:rsidRPr="002C5004">
              <w:t>n</w:t>
            </w:r>
            <w:r w:rsidRPr="002C5004">
              <w:t xml:space="preserve">ges over til lagerbeskatning som følge af, at den ikke længere </w:t>
            </w:r>
            <w:r w:rsidR="007239BF">
              <w:t xml:space="preserve">kan </w:t>
            </w:r>
            <w:r w:rsidRPr="002C5004">
              <w:t>få fradrag for konsolidering af fondsformuen, i skattemæssig henseende efter omstændigh</w:t>
            </w:r>
            <w:r w:rsidRPr="002C5004">
              <w:t>e</w:t>
            </w:r>
            <w:r w:rsidRPr="002C5004">
              <w:t xml:space="preserve">derne </w:t>
            </w:r>
            <w:r w:rsidR="007239BF">
              <w:t xml:space="preserve">vil </w:t>
            </w:r>
            <w:r w:rsidRPr="002C5004">
              <w:t>kunne konstatere en b</w:t>
            </w:r>
            <w:r w:rsidRPr="002C5004">
              <w:t>e</w:t>
            </w:r>
            <w:r w:rsidRPr="002C5004">
              <w:t>tydelig skattepligtig avance på s</w:t>
            </w:r>
            <w:r w:rsidRPr="002C5004">
              <w:t>i</w:t>
            </w:r>
            <w:r w:rsidRPr="002C5004">
              <w:t>ne porteføljeaktier i det pågæ</w:t>
            </w:r>
            <w:r w:rsidRPr="002C5004">
              <w:t>l</w:t>
            </w:r>
            <w:r w:rsidRPr="002C5004">
              <w:t xml:space="preserve">dende år, uanset fonden ikke har solgt nogen aktier. </w:t>
            </w:r>
          </w:p>
          <w:p w:rsidR="007239BF" w:rsidRPr="002C5004" w:rsidRDefault="007239BF" w:rsidP="002C5004">
            <w:pPr>
              <w:pStyle w:val="Tabel-BrdtekstmedafstandptekstGaramond"/>
            </w:pPr>
          </w:p>
          <w:p w:rsidR="002C5004" w:rsidRDefault="002C5004" w:rsidP="002C5004">
            <w:pPr>
              <w:pStyle w:val="Tabel-BrdtekstmedafstandptekstGaramond"/>
            </w:pPr>
            <w:r w:rsidRPr="002C5004">
              <w:t>Der bør derfor gives fonde a</w:t>
            </w:r>
            <w:r w:rsidRPr="002C5004">
              <w:t>d</w:t>
            </w:r>
            <w:r w:rsidRPr="002C5004">
              <w:t>gang til konsolidering af formuen med beskattede midler, så fond</w:t>
            </w:r>
            <w:r w:rsidRPr="002C5004">
              <w:t>e</w:t>
            </w:r>
            <w:r w:rsidRPr="002C5004">
              <w:t>ne fortsat har en reel mulighed for at kunne opfylde betingelse</w:t>
            </w:r>
            <w:r w:rsidRPr="002C5004">
              <w:t>r</w:t>
            </w:r>
            <w:r w:rsidRPr="002C5004">
              <w:t>ne for realisationsbeskatning.</w:t>
            </w:r>
          </w:p>
          <w:p w:rsidR="007F5C9F" w:rsidRDefault="007F5C9F" w:rsidP="002C5004">
            <w:pPr>
              <w:pStyle w:val="Tabel-BrdtekstmedafstandptekstGaramond"/>
            </w:pPr>
          </w:p>
          <w:p w:rsidR="007F5C9F" w:rsidRDefault="007F5C9F" w:rsidP="002C5004">
            <w:pPr>
              <w:pStyle w:val="Tabel-BrdtekstmedafstandptekstGaramond"/>
              <w:rPr>
                <w:b/>
              </w:rPr>
            </w:pPr>
            <w:r w:rsidRPr="007F5C9F">
              <w:rPr>
                <w:b/>
              </w:rPr>
              <w:t>Ophævelse af overførselsre</w:t>
            </w:r>
            <w:r w:rsidRPr="007F5C9F">
              <w:rPr>
                <w:b/>
              </w:rPr>
              <w:t>g</w:t>
            </w:r>
            <w:r w:rsidRPr="007F5C9F">
              <w:rPr>
                <w:b/>
              </w:rPr>
              <w:t>len</w:t>
            </w:r>
          </w:p>
          <w:p w:rsidR="006814A6" w:rsidRPr="006814A6" w:rsidRDefault="00A51CFD" w:rsidP="006814A6">
            <w:pPr>
              <w:pStyle w:val="Tabel-BrdtekstmedafstandptekstGaramond"/>
            </w:pPr>
            <w:r w:rsidRPr="008E2F02">
              <w:t>F</w:t>
            </w:r>
            <w:r w:rsidR="00B42FC9">
              <w:t>SR påpeger, at f</w:t>
            </w:r>
            <w:r w:rsidRPr="008E2F02">
              <w:t>ormålet me</w:t>
            </w:r>
            <w:r>
              <w:t>d overførselsreglen</w:t>
            </w:r>
            <w:r w:rsidRPr="008E2F02">
              <w:t xml:space="preserve"> </w:t>
            </w:r>
            <w:r>
              <w:t>var</w:t>
            </w:r>
            <w:r w:rsidRPr="008E2F02">
              <w:t xml:space="preserve"> </w:t>
            </w:r>
            <w:r w:rsidR="00DB650D" w:rsidRPr="00DB650D">
              <w:t>skattemæ</w:t>
            </w:r>
            <w:r w:rsidR="00DB650D" w:rsidRPr="00DB650D">
              <w:t>s</w:t>
            </w:r>
            <w:r w:rsidR="00DB650D" w:rsidRPr="00DB650D">
              <w:t>sigt at sidestille fonde, der e</w:t>
            </w:r>
            <w:r w:rsidR="00DB650D" w:rsidRPr="00DB650D">
              <w:t>r</w:t>
            </w:r>
            <w:r w:rsidR="00DB650D" w:rsidRPr="00DB650D">
              <w:t xml:space="preserve">hverver indkomst via et selskab, hvor fonden ejer en betydelig del af kapitalen (mindst 75 </w:t>
            </w:r>
            <w:r>
              <w:t>pct.</w:t>
            </w:r>
            <w:r w:rsidR="00DB650D" w:rsidRPr="00DB650D">
              <w:t>), med fonde, der har indkomsten i eget regi.</w:t>
            </w:r>
            <w:r w:rsidR="006814A6">
              <w:t xml:space="preserve"> </w:t>
            </w:r>
            <w:r w:rsidR="006814A6" w:rsidRPr="006814A6">
              <w:t xml:space="preserve">Dette dog kun i det omfang, </w:t>
            </w:r>
            <w:r w:rsidR="006814A6" w:rsidRPr="006814A6">
              <w:lastRenderedPageBreak/>
              <w:t>at indkomsten bliver anvendt til almennyttige formål. Formålet har således været, at den valgte forretningsmæssige struktur ikke skulle have betydning for beska</w:t>
            </w:r>
            <w:r w:rsidR="006814A6" w:rsidRPr="006814A6">
              <w:t>t</w:t>
            </w:r>
            <w:r w:rsidR="006814A6" w:rsidRPr="006814A6">
              <w:t>ningen. Dette gentages i lo</w:t>
            </w:r>
            <w:r w:rsidR="006814A6" w:rsidRPr="006814A6">
              <w:t>v</w:t>
            </w:r>
            <w:r w:rsidR="006814A6" w:rsidRPr="006814A6">
              <w:t>forslagets indledende bemær</w:t>
            </w:r>
            <w:r w:rsidR="006814A6" w:rsidRPr="006814A6">
              <w:t>k</w:t>
            </w:r>
            <w:r w:rsidR="0040227D">
              <w:t xml:space="preserve">ninger i </w:t>
            </w:r>
            <w:r w:rsidR="006814A6">
              <w:t>afsnit</w:t>
            </w:r>
            <w:r w:rsidR="006814A6" w:rsidRPr="006814A6">
              <w:t xml:space="preserve"> 3.1.3. </w:t>
            </w:r>
          </w:p>
          <w:p w:rsidR="006814A6" w:rsidRPr="006814A6" w:rsidRDefault="006814A6" w:rsidP="006814A6">
            <w:pPr>
              <w:pStyle w:val="Tabel-BrdtekstmedafstandptekstGaramond"/>
            </w:pPr>
          </w:p>
          <w:p w:rsidR="008E2F02" w:rsidRDefault="00B547FE" w:rsidP="00B547FE">
            <w:pPr>
              <w:pStyle w:val="Tabel-BrdtekstmedafstandptekstGaramond"/>
            </w:pPr>
            <w:r w:rsidRPr="00B547FE">
              <w:t xml:space="preserve">Netop dette formål var angiveligt også baggrunden for, at et forslag </w:t>
            </w:r>
            <w:r w:rsidR="00F27318">
              <w:t>om</w:t>
            </w:r>
            <w:r w:rsidRPr="00B547FE">
              <w:t xml:space="preserve"> ophævelse af reglen i Skatt</w:t>
            </w:r>
            <w:r w:rsidRPr="00B547FE">
              <w:t>e</w:t>
            </w:r>
            <w:r w:rsidRPr="00B547FE">
              <w:t>kommissionens forslag til skatt</w:t>
            </w:r>
            <w:r w:rsidRPr="00B547FE">
              <w:t>e</w:t>
            </w:r>
            <w:r w:rsidRPr="00B547FE">
              <w:t>reform</w:t>
            </w:r>
            <w:r w:rsidR="00F27318">
              <w:t xml:space="preserve"> (</w:t>
            </w:r>
            <w:r w:rsidRPr="00B547FE">
              <w:t>februar 2009</w:t>
            </w:r>
            <w:r w:rsidR="00F27318">
              <w:t>)</w:t>
            </w:r>
            <w:r w:rsidRPr="00B547FE">
              <w:t xml:space="preserve"> aldrig fandt vej til de efterfølgende lo</w:t>
            </w:r>
            <w:r w:rsidRPr="00B547FE">
              <w:t>v</w:t>
            </w:r>
            <w:r w:rsidRPr="00B547FE">
              <w:t>ændringer.</w:t>
            </w:r>
          </w:p>
          <w:p w:rsidR="005E4733" w:rsidRDefault="005E4733" w:rsidP="00B547FE">
            <w:pPr>
              <w:pStyle w:val="Tabel-BrdtekstmedafstandptekstGaramond"/>
            </w:pPr>
          </w:p>
          <w:p w:rsidR="005E4733" w:rsidRDefault="005E4733" w:rsidP="005E4733">
            <w:pPr>
              <w:pStyle w:val="Tabel-BrdtekstmedafstandptekstGaramond"/>
            </w:pPr>
            <w:r w:rsidRPr="005E4733">
              <w:t>Som begrundelse for nu at for</w:t>
            </w:r>
            <w:r w:rsidRPr="005E4733">
              <w:t>e</w:t>
            </w:r>
            <w:r w:rsidRPr="005E4733">
              <w:t>slå reglen ophævet anføres det i lovforslagets almindelige b</w:t>
            </w:r>
            <w:r w:rsidRPr="005E4733">
              <w:t>e</w:t>
            </w:r>
            <w:r w:rsidRPr="005E4733">
              <w:t>mærkninger</w:t>
            </w:r>
            <w:r w:rsidR="00D11ED1">
              <w:t>, afsnit</w:t>
            </w:r>
            <w:r w:rsidRPr="005E4733">
              <w:t xml:space="preserve"> 3.1.3: </w:t>
            </w:r>
          </w:p>
          <w:p w:rsidR="005E4733" w:rsidRPr="005E4733" w:rsidRDefault="005E4733" w:rsidP="005E4733">
            <w:pPr>
              <w:pStyle w:val="Tabel-BrdtekstmedafstandptekstGaramond"/>
            </w:pPr>
          </w:p>
          <w:p w:rsidR="005E4733" w:rsidRDefault="005E4733" w:rsidP="005E4733">
            <w:pPr>
              <w:pStyle w:val="Tabel-BrdtekstmedafstandptekstGaramond"/>
              <w:rPr>
                <w:i/>
                <w:iCs/>
              </w:rPr>
            </w:pPr>
            <w:r w:rsidRPr="005E4733">
              <w:rPr>
                <w:i/>
                <w:iCs/>
              </w:rPr>
              <w:t>”Udformningen af de gældende regler indebærer her, at holdingselskabet kan anvende overførselsreglen også i tilfælde, hvor fonden – hvis den havde ejet driftsselskabet direkte – ikke opfylder betingelsen om at eje den altovervejende del af driftsselskabet (fondens indirekte ejerandel af driftsselskabe</w:t>
            </w:r>
            <w:r w:rsidR="00C9481C">
              <w:rPr>
                <w:i/>
                <w:iCs/>
              </w:rPr>
              <w:t>t</w:t>
            </w:r>
            <w:r w:rsidRPr="005E4733">
              <w:rPr>
                <w:i/>
                <w:iCs/>
              </w:rPr>
              <w:t xml:space="preserve"> er med a</w:t>
            </w:r>
            <w:r w:rsidRPr="005E4733">
              <w:rPr>
                <w:i/>
                <w:iCs/>
              </w:rPr>
              <w:t>n</w:t>
            </w:r>
            <w:r w:rsidRPr="005E4733">
              <w:rPr>
                <w:i/>
                <w:iCs/>
              </w:rPr>
              <w:t xml:space="preserve">dre ord mindre end 75 </w:t>
            </w:r>
            <w:r w:rsidR="00C9481C">
              <w:rPr>
                <w:i/>
                <w:iCs/>
              </w:rPr>
              <w:t>pct.</w:t>
            </w:r>
            <w:r w:rsidRPr="005E4733">
              <w:rPr>
                <w:i/>
                <w:iCs/>
              </w:rPr>
              <w:t>)”.</w:t>
            </w:r>
          </w:p>
          <w:p w:rsidR="00AA23E6" w:rsidRDefault="00AA23E6" w:rsidP="005E4733">
            <w:pPr>
              <w:pStyle w:val="Tabel-BrdtekstmedafstandptekstGaramond"/>
              <w:rPr>
                <w:i/>
                <w:iCs/>
              </w:rPr>
            </w:pPr>
          </w:p>
          <w:p w:rsidR="00AA23E6" w:rsidRDefault="00AA23E6" w:rsidP="005E4733">
            <w:pPr>
              <w:pStyle w:val="Tabel-BrdtekstmedafstandptekstGaramond"/>
            </w:pPr>
            <w:r w:rsidRPr="00AA23E6">
              <w:t>Det anførte kan føre til den mi</w:t>
            </w:r>
            <w:r w:rsidRPr="00AA23E6">
              <w:t>s</w:t>
            </w:r>
            <w:r w:rsidRPr="00AA23E6">
              <w:t xml:space="preserve">forståelse, at </w:t>
            </w:r>
            <w:r>
              <w:t>overførsels</w:t>
            </w:r>
            <w:r w:rsidRPr="00AA23E6">
              <w:t xml:space="preserve">reglen ved at indskyde et holdingselskab mellem en fond og et selskab kan føre til en omgåelse af ejerkravet på mindst 75 </w:t>
            </w:r>
            <w:r>
              <w:t>pct</w:t>
            </w:r>
            <w:r w:rsidRPr="00AA23E6">
              <w:t xml:space="preserve">. Dette er ikke korrekt. </w:t>
            </w:r>
            <w:r>
              <w:t>Overførsels</w:t>
            </w:r>
            <w:r w:rsidRPr="00AA23E6">
              <w:t>reglen kan kun anven</w:t>
            </w:r>
            <w:r>
              <w:t xml:space="preserve">des på selskaber, der er </w:t>
            </w:r>
            <w:r w:rsidRPr="00AA23E6">
              <w:t>direkte ejet af fonden</w:t>
            </w:r>
            <w:r>
              <w:t>,</w:t>
            </w:r>
            <w:r w:rsidRPr="00AA23E6">
              <w:t xml:space="preserve"> og ikke på indirekte ejede selskaber. Typisk vil holdingselskabet have fina</w:t>
            </w:r>
            <w:r w:rsidRPr="00AA23E6">
              <w:t>n</w:t>
            </w:r>
            <w:r w:rsidRPr="00AA23E6">
              <w:t xml:space="preserve">siel indkomst, dvs. indkomst, der </w:t>
            </w:r>
            <w:r w:rsidRPr="00AA23E6">
              <w:lastRenderedPageBreak/>
              <w:t>ved en anden struktur lige så vel kunne være erhvervet af fonden. Det er derfor nødvendigt at o</w:t>
            </w:r>
            <w:r w:rsidRPr="00AA23E6">
              <w:t>p</w:t>
            </w:r>
            <w:r w:rsidRPr="00AA23E6">
              <w:t xml:space="preserve">retholde </w:t>
            </w:r>
            <w:r>
              <w:t>overførsels</w:t>
            </w:r>
            <w:r w:rsidRPr="00AA23E6">
              <w:t xml:space="preserve">reglen, hvis </w:t>
            </w:r>
            <w:r>
              <w:t xml:space="preserve">det </w:t>
            </w:r>
            <w:r w:rsidRPr="00AA23E6">
              <w:t>ikke fremadrettet skal være skattemæssige hensyn og ikke andre forretningsmæssige he</w:t>
            </w:r>
            <w:r w:rsidRPr="00AA23E6">
              <w:t>n</w:t>
            </w:r>
            <w:r w:rsidRPr="00AA23E6">
              <w:t>syn, der skal være styrende for valg af koncernstruktur</w:t>
            </w:r>
            <w:r>
              <w:t>,</w:t>
            </w:r>
            <w:r w:rsidRPr="00AA23E6">
              <w:t xml:space="preserve"> herunder nødvendigheden af et holdingse</w:t>
            </w:r>
            <w:r w:rsidRPr="00AA23E6">
              <w:t>l</w:t>
            </w:r>
            <w:r w:rsidRPr="00AA23E6">
              <w:t>skab.</w:t>
            </w:r>
          </w:p>
          <w:p w:rsidR="006E30B9" w:rsidRDefault="006E30B9" w:rsidP="005E4733">
            <w:pPr>
              <w:pStyle w:val="Tabel-BrdtekstmedafstandptekstGaramond"/>
            </w:pPr>
          </w:p>
          <w:p w:rsidR="006E30B9" w:rsidRDefault="006E30B9" w:rsidP="006E30B9">
            <w:pPr>
              <w:pStyle w:val="Tabel-BrdtekstmedafstandptekstGaramond"/>
            </w:pPr>
            <w:r w:rsidRPr="006E30B9">
              <w:t>Det anføres i lovforslagets a</w:t>
            </w:r>
            <w:r w:rsidRPr="006E30B9">
              <w:t>l</w:t>
            </w:r>
            <w:r w:rsidRPr="006E30B9">
              <w:t xml:space="preserve">mindelige bemærkninger, </w:t>
            </w:r>
            <w:r>
              <w:t xml:space="preserve">afsnit </w:t>
            </w:r>
            <w:r w:rsidRPr="006E30B9">
              <w:t>3.2.2, at</w:t>
            </w:r>
            <w:r>
              <w:t>:</w:t>
            </w:r>
            <w:r w:rsidRPr="006E30B9">
              <w:t xml:space="preserve"> </w:t>
            </w:r>
          </w:p>
          <w:p w:rsidR="006E30B9" w:rsidRPr="006E30B9" w:rsidRDefault="006E30B9" w:rsidP="006E30B9">
            <w:pPr>
              <w:pStyle w:val="Tabel-BrdtekstmedafstandptekstGaramond"/>
            </w:pPr>
          </w:p>
          <w:p w:rsidR="006E30B9" w:rsidRDefault="006E30B9" w:rsidP="006E30B9">
            <w:pPr>
              <w:pStyle w:val="Tabel-BrdtekstmedafstandptekstGaramond"/>
              <w:rPr>
                <w:i/>
                <w:iCs/>
              </w:rPr>
            </w:pPr>
            <w:r w:rsidRPr="006E30B9">
              <w:rPr>
                <w:i/>
                <w:iCs/>
              </w:rPr>
              <w:t>”Ophævelsen af overførselsreglen bet</w:t>
            </w:r>
            <w:r w:rsidRPr="006E30B9">
              <w:rPr>
                <w:i/>
                <w:iCs/>
              </w:rPr>
              <w:t>y</w:t>
            </w:r>
            <w:r w:rsidRPr="006E30B9">
              <w:rPr>
                <w:i/>
                <w:iCs/>
              </w:rPr>
              <w:t>der, at selskabet fremover vil være ska</w:t>
            </w:r>
            <w:r w:rsidRPr="006E30B9">
              <w:rPr>
                <w:i/>
                <w:iCs/>
              </w:rPr>
              <w:t>t</w:t>
            </w:r>
            <w:r w:rsidRPr="006E30B9">
              <w:rPr>
                <w:i/>
                <w:iCs/>
              </w:rPr>
              <w:t>tepligtigt af sin indkomst. Overskuddet efter skat vil herefter kunne udloddes af selskabet til fonden, og vil her typisk være skattefri som datterselskabsudby</w:t>
            </w:r>
            <w:r w:rsidRPr="006E30B9">
              <w:rPr>
                <w:i/>
                <w:iCs/>
              </w:rPr>
              <w:t>t</w:t>
            </w:r>
            <w:r w:rsidRPr="006E30B9">
              <w:rPr>
                <w:i/>
                <w:iCs/>
              </w:rPr>
              <w:t>te”.</w:t>
            </w:r>
          </w:p>
          <w:p w:rsidR="006E30B9" w:rsidRDefault="006E30B9" w:rsidP="006E30B9">
            <w:pPr>
              <w:pStyle w:val="Tabel-BrdtekstmedafstandptekstGaramond"/>
              <w:rPr>
                <w:i/>
                <w:iCs/>
              </w:rPr>
            </w:pPr>
          </w:p>
          <w:p w:rsidR="006E30B9" w:rsidRDefault="00AF2DBA" w:rsidP="00182863">
            <w:pPr>
              <w:pStyle w:val="Tabel-BrdtekstmedafstandptekstGaramond"/>
            </w:pPr>
            <w:r w:rsidRPr="00AF2DBA">
              <w:t>For det første betyder forslaget alt andet lige, at en beskatning af indkomsten i selskabet reducerer mulighederne for at foretage a</w:t>
            </w:r>
            <w:r w:rsidRPr="00AF2DBA">
              <w:t>l</w:t>
            </w:r>
            <w:r w:rsidRPr="00AF2DBA">
              <w:t xml:space="preserve">mennyttige uddelinger med 22 </w:t>
            </w:r>
            <w:r w:rsidR="00182863">
              <w:t>pct.</w:t>
            </w:r>
            <w:r w:rsidRPr="00AF2DBA">
              <w:t xml:space="preserve"> svarende til selskabsskatt</w:t>
            </w:r>
            <w:r w:rsidRPr="00AF2DBA">
              <w:t>e</w:t>
            </w:r>
            <w:r w:rsidRPr="00AF2DBA">
              <w:t>procenten. De formål, fondene støtter, vil derfor</w:t>
            </w:r>
            <w:r w:rsidR="00182863">
              <w:t xml:space="preserve"> </w:t>
            </w:r>
            <w:r w:rsidR="00182863" w:rsidRPr="00182863">
              <w:t>opnå en betyd</w:t>
            </w:r>
            <w:r w:rsidR="00182863" w:rsidRPr="00182863">
              <w:t>e</w:t>
            </w:r>
            <w:r w:rsidR="00182863" w:rsidRPr="00182863">
              <w:t>lig reduktion af støtten. Deru</w:t>
            </w:r>
            <w:r w:rsidR="00182863" w:rsidRPr="00182863">
              <w:t>d</w:t>
            </w:r>
            <w:r w:rsidR="00182863" w:rsidRPr="00182863">
              <w:t>over har transparensreglen ind</w:t>
            </w:r>
            <w:r w:rsidR="00182863" w:rsidRPr="00182863">
              <w:t>e</w:t>
            </w:r>
            <w:r w:rsidR="00182863" w:rsidRPr="00182863">
              <w:t>båret et betydeligt incitament til at fremme de almennyttige udd</w:t>
            </w:r>
            <w:r w:rsidR="00182863" w:rsidRPr="00182863">
              <w:t>e</w:t>
            </w:r>
            <w:r w:rsidR="00182863" w:rsidRPr="00182863">
              <w:t>linger, idet transparensreglen kun har kunnet anvendes i det o</w:t>
            </w:r>
            <w:r w:rsidR="00182863" w:rsidRPr="00182863">
              <w:t>m</w:t>
            </w:r>
            <w:r w:rsidR="00182863" w:rsidRPr="00182863">
              <w:t>fang, indkomsten de facto blev brugt til almennyttige formål. Hvis reglen ophæves</w:t>
            </w:r>
            <w:r w:rsidR="00182863">
              <w:t>,</w:t>
            </w:r>
            <w:r w:rsidR="00182863" w:rsidRPr="00182863">
              <w:t xml:space="preserve"> og der skal betales 22 </w:t>
            </w:r>
            <w:r w:rsidR="00182863">
              <w:t>pct.</w:t>
            </w:r>
            <w:r w:rsidR="00182863" w:rsidRPr="00182863">
              <w:t xml:space="preserve"> i selskabsskat</w:t>
            </w:r>
            <w:r w:rsidR="00182863">
              <w:t>,</w:t>
            </w:r>
            <w:r w:rsidR="00182863" w:rsidRPr="00182863">
              <w:t xml:space="preserve"> fo</w:t>
            </w:r>
            <w:r w:rsidR="00182863" w:rsidRPr="00182863">
              <w:t>r</w:t>
            </w:r>
            <w:r w:rsidR="00182863" w:rsidRPr="00182863">
              <w:t>svinder incitamentet til at fre</w:t>
            </w:r>
            <w:r w:rsidR="00182863" w:rsidRPr="00182863">
              <w:t>m</w:t>
            </w:r>
            <w:r w:rsidR="00182863" w:rsidRPr="00182863">
              <w:t>me de almennyttige uddelinger.</w:t>
            </w:r>
          </w:p>
          <w:p w:rsidR="00F20DB7" w:rsidRDefault="00F20DB7" w:rsidP="00182863">
            <w:pPr>
              <w:pStyle w:val="Tabel-BrdtekstmedafstandptekstGaramond"/>
            </w:pPr>
          </w:p>
          <w:p w:rsidR="00F20DB7" w:rsidRDefault="00F20DB7" w:rsidP="00182863">
            <w:pPr>
              <w:pStyle w:val="Tabel-BrdtekstmedafstandptekstGaramond"/>
            </w:pPr>
            <w:r w:rsidRPr="00F20DB7">
              <w:t>For det andet anser FSR det for ukorrekt at anføre, at der typisk vil være tale om skattefrie udby</w:t>
            </w:r>
            <w:r w:rsidRPr="00F20DB7">
              <w:t>t</w:t>
            </w:r>
            <w:r w:rsidRPr="00F20DB7">
              <w:t>ter. Den såkaldte prioriteringsr</w:t>
            </w:r>
            <w:r w:rsidRPr="00F20DB7">
              <w:t>e</w:t>
            </w:r>
            <w:r w:rsidRPr="00F20DB7">
              <w:t>gel i fondsbeskatningslovens § 6 indebærer indirekte en dobbel</w:t>
            </w:r>
            <w:r w:rsidRPr="00F20DB7">
              <w:t>t</w:t>
            </w:r>
            <w:r w:rsidRPr="00F20DB7">
              <w:t>beskatning af udbytter, idet ska</w:t>
            </w:r>
            <w:r w:rsidRPr="00F20DB7">
              <w:t>t</w:t>
            </w:r>
            <w:r w:rsidRPr="00F20DB7">
              <w:t>tefrie udbytter skal modregnes i fradragsberettigede almennyttige uddelinger før nogen del af fo</w:t>
            </w:r>
            <w:r w:rsidRPr="00F20DB7">
              <w:t>n</w:t>
            </w:r>
            <w:r w:rsidRPr="00F20DB7">
              <w:t>dens øvrige skattepligtige in</w:t>
            </w:r>
            <w:r w:rsidRPr="00F20DB7">
              <w:t>d</w:t>
            </w:r>
            <w:r w:rsidRPr="00F20DB7">
              <w:t>komst. Derved fremkommer der en faktisk dobbeltbeskatning af datterselskabsudbytter. Ved re</w:t>
            </w:r>
            <w:r w:rsidRPr="00F20DB7">
              <w:t>g</w:t>
            </w:r>
            <w:r w:rsidRPr="00F20DB7">
              <w:t>lens indførelse var det forudsat, at denne dobbeltbeskatning sen</w:t>
            </w:r>
            <w:r w:rsidRPr="00F20DB7">
              <w:t>e</w:t>
            </w:r>
            <w:r w:rsidRPr="00F20DB7">
              <w:t>re skulle ophæves, hvilket fre</w:t>
            </w:r>
            <w:r w:rsidRPr="00F20DB7">
              <w:t>m</w:t>
            </w:r>
            <w:r w:rsidRPr="00F20DB7">
              <w:t>går af et svar til Foreningen af Statsautoriserede Revisorer, jf. Betænkning afgivet af skatte- og afgiftsudvalget den 20. februar 1986 til lovforslag L 108 og L 109. Dette er aldrig sket, og fo</w:t>
            </w:r>
            <w:r w:rsidRPr="00F20DB7">
              <w:t>n</w:t>
            </w:r>
            <w:r w:rsidRPr="00F20DB7">
              <w:t>denes mulighed for at anvende bl.a. transparensreglen har delvist medvirket til at afbøde dobbel</w:t>
            </w:r>
            <w:r w:rsidRPr="00F20DB7">
              <w:t>t</w:t>
            </w:r>
            <w:r w:rsidRPr="00F20DB7">
              <w:t>beskatningen. Med ophævelsen af transparensreglen vil kons</w:t>
            </w:r>
            <w:r w:rsidRPr="00F20DB7">
              <w:t>e</w:t>
            </w:r>
            <w:r w:rsidRPr="00F20DB7">
              <w:t>kvensen være, at datterselskab</w:t>
            </w:r>
            <w:r w:rsidRPr="00F20DB7">
              <w:t>s</w:t>
            </w:r>
            <w:r w:rsidRPr="00F20DB7">
              <w:t>udbytter i vidt omfang dobbel</w:t>
            </w:r>
            <w:r w:rsidRPr="00F20DB7">
              <w:t>t</w:t>
            </w:r>
            <w:r w:rsidRPr="00F20DB7">
              <w:t>beskattes og ikke, som det anf</w:t>
            </w:r>
            <w:r w:rsidRPr="00F20DB7">
              <w:t>ø</w:t>
            </w:r>
            <w:r w:rsidRPr="00F20DB7">
              <w:t>res i lovforslaget, at der ”typisk” vil være tale om skattefri datte</w:t>
            </w:r>
            <w:r w:rsidRPr="00F20DB7">
              <w:t>r</w:t>
            </w:r>
            <w:r w:rsidRPr="00F20DB7">
              <w:t>selskabsudbytter.</w:t>
            </w:r>
          </w:p>
          <w:p w:rsidR="00F20DB7" w:rsidRDefault="00F20DB7" w:rsidP="00182863">
            <w:pPr>
              <w:pStyle w:val="Tabel-BrdtekstmedafstandptekstGaramond"/>
            </w:pPr>
          </w:p>
          <w:p w:rsidR="00F20DB7" w:rsidRPr="00F20DB7" w:rsidRDefault="00F20DB7" w:rsidP="00F20DB7">
            <w:pPr>
              <w:pStyle w:val="Tabel-BrdtekstmedafstandptekstGaramond"/>
            </w:pPr>
            <w:r w:rsidRPr="00F20DB7">
              <w:t>Derudover kan erhvervsdrivende fonde ikke – som selskaber – sambeskattes med koncernens øvrige selskaber, hvilket altså delvist har været kompenseret via transparensreglen. Ved en oph</w:t>
            </w:r>
            <w:r w:rsidRPr="00F20DB7">
              <w:t>æ</w:t>
            </w:r>
            <w:r w:rsidRPr="00F20DB7">
              <w:t xml:space="preserve">velse af transparensreglen stilles fonde således væsentligt ringere </w:t>
            </w:r>
            <w:r w:rsidRPr="00F20DB7">
              <w:lastRenderedPageBreak/>
              <w:t xml:space="preserve">end ”almindelige” selskaber. </w:t>
            </w:r>
          </w:p>
          <w:p w:rsidR="00F20DB7" w:rsidRDefault="00F20DB7" w:rsidP="00F20DB7">
            <w:pPr>
              <w:pStyle w:val="Tabel-BrdtekstmedafstandptekstGaramond"/>
            </w:pPr>
            <w:r w:rsidRPr="00F20DB7">
              <w:t>Endeligt bemærkes, at en lang række mindre fonde og foreni</w:t>
            </w:r>
            <w:r w:rsidRPr="00F20DB7">
              <w:t>n</w:t>
            </w:r>
            <w:r w:rsidRPr="00F20DB7">
              <w:t>ger varetager en del af deres akt</w:t>
            </w:r>
            <w:r w:rsidRPr="00F20DB7">
              <w:t>i</w:t>
            </w:r>
            <w:r w:rsidRPr="00F20DB7">
              <w:t>vitet i datterselskabsform, f. eks. udstillinger mv. For disse fonde og foreninger vil ophævelsen af transparensreglen have betydelige negative konsekvenser for deres mulighed for at varetage form</w:t>
            </w:r>
            <w:r w:rsidRPr="00F20DB7">
              <w:t>å</w:t>
            </w:r>
            <w:r w:rsidRPr="00F20DB7">
              <w:t>let.</w:t>
            </w:r>
          </w:p>
          <w:p w:rsidR="00F20DB7" w:rsidRDefault="00F20DB7" w:rsidP="00F20DB7">
            <w:pPr>
              <w:pStyle w:val="Tabel-BrdtekstmedafstandptekstGaramond"/>
            </w:pPr>
          </w:p>
          <w:p w:rsidR="00F20DB7" w:rsidRDefault="00F20DB7" w:rsidP="00F20DB7">
            <w:pPr>
              <w:pStyle w:val="Tabel-BrdtekstmedafstandptekstGaramond"/>
            </w:pPr>
            <w:r w:rsidRPr="00F20DB7">
              <w:t xml:space="preserve">FSR </w:t>
            </w:r>
            <w:r w:rsidR="00B42FC9">
              <w:t>gør</w:t>
            </w:r>
            <w:r w:rsidR="00B42FC9" w:rsidRPr="00F20DB7">
              <w:t xml:space="preserve"> </w:t>
            </w:r>
            <w:r w:rsidRPr="00F20DB7">
              <w:t>endvidere opmærksom på, at en del fonde er helt skatt</w:t>
            </w:r>
            <w:r w:rsidRPr="00F20DB7">
              <w:t>e</w:t>
            </w:r>
            <w:r w:rsidRPr="00F20DB7">
              <w:t>fritaget, f</w:t>
            </w:r>
            <w:r>
              <w:t xml:space="preserve">.eks. </w:t>
            </w:r>
            <w:r w:rsidRPr="00F20DB7">
              <w:t>offentligt tilgæng</w:t>
            </w:r>
            <w:r w:rsidRPr="00F20DB7">
              <w:t>e</w:t>
            </w:r>
            <w:r w:rsidRPr="00F20DB7">
              <w:t>lige museer, jf. selskabsskattel</w:t>
            </w:r>
            <w:r w:rsidRPr="00F20DB7">
              <w:t>o</w:t>
            </w:r>
            <w:r w:rsidRPr="00F20DB7">
              <w:t>vens § 3. Disse fonde/museer vil ofte ej</w:t>
            </w:r>
            <w:r>
              <w:t xml:space="preserve">e hele kapitalen i et </w:t>
            </w:r>
            <w:r w:rsidRPr="00F20DB7">
              <w:t>datte</w:t>
            </w:r>
            <w:r w:rsidRPr="00F20DB7">
              <w:t>r</w:t>
            </w:r>
            <w:r w:rsidRPr="00F20DB7">
              <w:t>selskab, hvis aktivitet typisk vil være at udleje museumsbygni</w:t>
            </w:r>
            <w:r w:rsidRPr="00F20DB7">
              <w:t>n</w:t>
            </w:r>
            <w:r w:rsidRPr="00F20DB7">
              <w:t>gerne til fonden. Hidtil har en sådan konstruktion efter praksis været skattefritaget, bl.a. som fø</w:t>
            </w:r>
            <w:r w:rsidRPr="00F20DB7">
              <w:t>l</w:t>
            </w:r>
            <w:r w:rsidRPr="00F20DB7">
              <w:t>ge af overførelsesreglen.</w:t>
            </w:r>
          </w:p>
          <w:p w:rsidR="00F20DB7" w:rsidRDefault="00F20DB7" w:rsidP="00F20DB7">
            <w:pPr>
              <w:pStyle w:val="Tabel-BrdtekstmedafstandptekstGaramond"/>
            </w:pPr>
          </w:p>
          <w:p w:rsidR="00F20DB7" w:rsidRDefault="00321DA8" w:rsidP="00F20DB7">
            <w:pPr>
              <w:pStyle w:val="Tabel-BrdtekstmedafstandptekstGaramond"/>
            </w:pPr>
            <w:r>
              <w:t xml:space="preserve">FSR beder </w:t>
            </w:r>
            <w:r w:rsidR="00F20DB7" w:rsidRPr="00F20DB7">
              <w:t>Skatteministiet b</w:t>
            </w:r>
            <w:r w:rsidR="00F20DB7" w:rsidRPr="00F20DB7">
              <w:t>e</w:t>
            </w:r>
            <w:r w:rsidR="00F20DB7" w:rsidRPr="00F20DB7">
              <w:t>kræfte, at ophævelsen af overf</w:t>
            </w:r>
            <w:r w:rsidR="00F20DB7" w:rsidRPr="00F20DB7">
              <w:t>ø</w:t>
            </w:r>
            <w:r w:rsidR="00F20DB7" w:rsidRPr="00F20DB7">
              <w:t>relsesreglen tillige vil betyde, at skattefritagne fonde/museers 100</w:t>
            </w:r>
            <w:r w:rsidR="00F20DB7">
              <w:t xml:space="preserve"> pct.-e</w:t>
            </w:r>
            <w:r w:rsidR="00F20DB7" w:rsidRPr="00F20DB7">
              <w:t>jede datterselskaber bliver ramt på linje med selskaber ejet af skattepligtige fonde efter fondsbeskatningsloven.</w:t>
            </w:r>
          </w:p>
          <w:p w:rsidR="00F20DB7" w:rsidRDefault="00F20DB7" w:rsidP="00F20DB7">
            <w:pPr>
              <w:pStyle w:val="Tabel-BrdtekstmedafstandptekstGaramond"/>
            </w:pPr>
          </w:p>
          <w:p w:rsidR="00F20DB7" w:rsidRPr="00A93686" w:rsidRDefault="00A93686" w:rsidP="00F20DB7">
            <w:pPr>
              <w:pStyle w:val="Tabel-BrdtekstmedafstandptekstGaramond"/>
              <w:rPr>
                <w:b/>
              </w:rPr>
            </w:pPr>
            <w:r w:rsidRPr="00A93686">
              <w:rPr>
                <w:b/>
              </w:rPr>
              <w:t>Forslagets virkningstidspunkt</w:t>
            </w:r>
          </w:p>
          <w:p w:rsidR="005E4733" w:rsidRDefault="00A93686" w:rsidP="00B547FE">
            <w:pPr>
              <w:pStyle w:val="Tabel-BrdtekstmedafstandptekstGaramond"/>
            </w:pPr>
            <w:r w:rsidRPr="00A93686">
              <w:t>Ophævelsen af adgangen til ko</w:t>
            </w:r>
            <w:r w:rsidRPr="00A93686">
              <w:t>n</w:t>
            </w:r>
            <w:r w:rsidRPr="00A93686">
              <w:t>solideringsfradrag skal efter fo</w:t>
            </w:r>
            <w:r w:rsidRPr="00A93686">
              <w:t>r</w:t>
            </w:r>
            <w:r w:rsidRPr="00A93686">
              <w:t>slaget have virkning for uddeli</w:t>
            </w:r>
            <w:r w:rsidRPr="00A93686">
              <w:t>n</w:t>
            </w:r>
            <w:r w:rsidRPr="00A93686">
              <w:t xml:space="preserve">ger foretaget den 20. november 2015 eller senere. </w:t>
            </w:r>
            <w:r w:rsidR="00582B99">
              <w:t>FSR anfører, at e</w:t>
            </w:r>
            <w:r w:rsidRPr="00A93686">
              <w:t>n sådan umiddelbar ikrafttræde</w:t>
            </w:r>
            <w:r w:rsidRPr="00A93686">
              <w:t>l</w:t>
            </w:r>
            <w:r w:rsidRPr="00A93686">
              <w:t>sesbestemmelse sædvanligvis kun</w:t>
            </w:r>
            <w:r w:rsidR="00582B99">
              <w:t xml:space="preserve"> anvendes</w:t>
            </w:r>
            <w:r w:rsidRPr="00A93686">
              <w:t xml:space="preserve"> i tilfælde af ”hullukni</w:t>
            </w:r>
            <w:r w:rsidRPr="00A93686">
              <w:t>n</w:t>
            </w:r>
            <w:r w:rsidRPr="00A93686">
              <w:t xml:space="preserve">ger”, hvilket der afgjort ikke er </w:t>
            </w:r>
            <w:r w:rsidRPr="00A93686">
              <w:lastRenderedPageBreak/>
              <w:t>tale om i forbindelse med nærv</w:t>
            </w:r>
            <w:r w:rsidRPr="00A93686">
              <w:t>æ</w:t>
            </w:r>
            <w:r w:rsidRPr="00A93686">
              <w:t>rende forslag. De fleste fonde har en nøje tilrettelagt uddelingspol</w:t>
            </w:r>
            <w:r w:rsidRPr="00A93686">
              <w:t>i</w:t>
            </w:r>
            <w:r w:rsidRPr="00A93686">
              <w:t>tik og på forhånd fastlagte best</w:t>
            </w:r>
            <w:r w:rsidRPr="00A93686">
              <w:t>y</w:t>
            </w:r>
            <w:r w:rsidRPr="00A93686">
              <w:t>relsesmøder, ofte i december måned, hvor bevillinger besluttes og meddeles. Forud for dette er gået lange undersøgelses- og u</w:t>
            </w:r>
            <w:r w:rsidRPr="00A93686">
              <w:t>d</w:t>
            </w:r>
            <w:r w:rsidRPr="00A93686">
              <w:t>vælgelsesprocedurer, som ikke l</w:t>
            </w:r>
            <w:r w:rsidRPr="00A93686">
              <w:t>i</w:t>
            </w:r>
            <w:r w:rsidRPr="00A93686">
              <w:t>ge kan springes over til fordel for at ”hamstre” konsolideringsfr</w:t>
            </w:r>
            <w:r w:rsidRPr="00A93686">
              <w:t>a</w:t>
            </w:r>
            <w:r w:rsidRPr="00A93686">
              <w:t>drag i den resterende del af in</w:t>
            </w:r>
            <w:r w:rsidRPr="00A93686">
              <w:t>d</w:t>
            </w:r>
            <w:r w:rsidRPr="00A93686">
              <w:t>komståret.</w:t>
            </w:r>
          </w:p>
          <w:p w:rsidR="00A93686" w:rsidRDefault="00A93686" w:rsidP="00B547FE">
            <w:pPr>
              <w:pStyle w:val="Tabel-BrdtekstmedafstandptekstGaramond"/>
            </w:pPr>
          </w:p>
          <w:p w:rsidR="00A93686" w:rsidRDefault="00A93686" w:rsidP="00A93686">
            <w:pPr>
              <w:pStyle w:val="Tabel-BrdtekstmedafstandptekstGaramond"/>
            </w:pPr>
            <w:r w:rsidRPr="00A93686">
              <w:t>Tilmed skal det erindres, at fonde ikke kan fremføre underskud o</w:t>
            </w:r>
            <w:r w:rsidRPr="00A93686">
              <w:t>p</w:t>
            </w:r>
            <w:r w:rsidRPr="00A93686">
              <w:t>stået som følge af uddelings- eller konsolideringsfradrag. Det kan således ikke ”hamstres” fradrag til brug i senere år. Det foreslås derfor, at virkningstidspunktet i givet fald kommer til at følge h</w:t>
            </w:r>
            <w:r w:rsidRPr="00A93686">
              <w:t>o</w:t>
            </w:r>
            <w:r w:rsidRPr="00A93686">
              <w:t>vedreglen i den foreslåede § 4, stk.1. Skattemæssigt bør det ikke være afgørende om en fondsb</w:t>
            </w:r>
            <w:r w:rsidRPr="00A93686">
              <w:t>e</w:t>
            </w:r>
            <w:r w:rsidRPr="00A93686">
              <w:t xml:space="preserve">styrelse har haft bevillingsmøde i november eller december 2015. </w:t>
            </w:r>
          </w:p>
          <w:p w:rsidR="00A93686" w:rsidRPr="00A93686" w:rsidRDefault="00A93686" w:rsidP="00A93686">
            <w:pPr>
              <w:pStyle w:val="Tabel-BrdtekstmedafstandptekstGaramond"/>
            </w:pPr>
          </w:p>
          <w:p w:rsidR="00A93686" w:rsidRDefault="00A93686" w:rsidP="00A93686">
            <w:pPr>
              <w:pStyle w:val="Tabel-BrdtekstmedafstandptekstGaramond"/>
            </w:pPr>
            <w:r w:rsidRPr="00A93686">
              <w:t>Endvidere er hensættelser foret</w:t>
            </w:r>
            <w:r w:rsidRPr="00A93686">
              <w:t>a</w:t>
            </w:r>
            <w:r w:rsidRPr="00A93686">
              <w:t>get forud for 20. november 2015 besluttet med forventning om, at disse kunne uddeles med kons</w:t>
            </w:r>
            <w:r w:rsidRPr="00A93686">
              <w:t>o</w:t>
            </w:r>
            <w:r w:rsidRPr="00A93686">
              <w:t>lideringsfradrag. For at reglerne ikke får karakter af tilbagevirke</w:t>
            </w:r>
            <w:r w:rsidRPr="00A93686">
              <w:t>n</w:t>
            </w:r>
            <w:r w:rsidRPr="00A93686">
              <w:t>de kraft, bør der gives konsolid</w:t>
            </w:r>
            <w:r w:rsidRPr="00A93686">
              <w:t>e</w:t>
            </w:r>
            <w:r w:rsidRPr="00A93686">
              <w:t>ringsfradrag for uddeling af en hensættelse, der er besluttet fo</w:t>
            </w:r>
            <w:r w:rsidRPr="00A93686">
              <w:t>r</w:t>
            </w:r>
            <w:r w:rsidRPr="00A93686">
              <w:t xml:space="preserve">ud for 20. november 2015. </w:t>
            </w:r>
          </w:p>
          <w:p w:rsidR="00A93686" w:rsidRPr="00A93686" w:rsidRDefault="00A93686" w:rsidP="00A93686">
            <w:pPr>
              <w:pStyle w:val="Tabel-BrdtekstmedafstandptekstGaramond"/>
            </w:pPr>
          </w:p>
          <w:p w:rsidR="00A93686" w:rsidRDefault="00A93686" w:rsidP="00A93686">
            <w:pPr>
              <w:pStyle w:val="Tabel-BrdtekstmedafstandptekstGaramond"/>
            </w:pPr>
            <w:r w:rsidRPr="00A93686">
              <w:t xml:space="preserve">Derudover </w:t>
            </w:r>
            <w:r w:rsidR="00582B99" w:rsidRPr="00A93686">
              <w:t>anmode</w:t>
            </w:r>
            <w:r w:rsidR="00582B99">
              <w:t>r FSR</w:t>
            </w:r>
            <w:r w:rsidR="00582B99" w:rsidRPr="00A93686">
              <w:t xml:space="preserve"> </w:t>
            </w:r>
            <w:r w:rsidRPr="00A93686">
              <w:t>om en bekræftelse af, at fonde, der for</w:t>
            </w:r>
            <w:r w:rsidRPr="00A93686">
              <w:t>e</w:t>
            </w:r>
            <w:r w:rsidRPr="00A93686">
              <w:t>tager flerårige uddelinger og som har valgt at anvende forfaldstid</w:t>
            </w:r>
            <w:r w:rsidRPr="00A93686">
              <w:t>s</w:t>
            </w:r>
            <w:r w:rsidRPr="00A93686">
              <w:t xml:space="preserve">punktet som fradragstidspunkt, </w:t>
            </w:r>
            <w:r w:rsidRPr="00A93686">
              <w:lastRenderedPageBreak/>
              <w:t>jf. fondsbeskatningslovens § 4, stk. 3 kan opnå konsolidering</w:t>
            </w:r>
            <w:r w:rsidRPr="00A93686">
              <w:t>s</w:t>
            </w:r>
            <w:r w:rsidRPr="00A93686">
              <w:t>fradrag for disse uddelinger, hvis den retlige forpligtelse er opstået senest 19. november 2015, selv om fradraget først tages i takt med at betalingerne forfalder.</w:t>
            </w:r>
          </w:p>
          <w:p w:rsidR="00C66B4D" w:rsidRDefault="00C66B4D" w:rsidP="00A93686">
            <w:pPr>
              <w:pStyle w:val="Tabel-BrdtekstmedafstandptekstGaramond"/>
            </w:pPr>
          </w:p>
          <w:p w:rsidR="005E4733" w:rsidRPr="00B5346F" w:rsidRDefault="00C66B4D" w:rsidP="00582B99">
            <w:pPr>
              <w:pStyle w:val="Tabel-BrdtekstmedafstandptekstGaramond"/>
            </w:pPr>
            <w:r w:rsidRPr="00C66B4D">
              <w:t>For så vidt angår ophævelsen af transparensreglen skal denne h</w:t>
            </w:r>
            <w:r w:rsidRPr="00C66B4D">
              <w:t>a</w:t>
            </w:r>
            <w:r w:rsidRPr="00C66B4D">
              <w:t xml:space="preserve">ve virkning for indkomstår, der starter den 1. januar 2016 eller senere. </w:t>
            </w:r>
            <w:r w:rsidR="00582B99">
              <w:t>FSR</w:t>
            </w:r>
            <w:r w:rsidR="00582B99" w:rsidRPr="00C66B4D">
              <w:t xml:space="preserve"> </w:t>
            </w:r>
            <w:r w:rsidRPr="00C66B4D">
              <w:t>bede</w:t>
            </w:r>
            <w:r w:rsidR="00582B99">
              <w:t>r</w:t>
            </w:r>
            <w:r w:rsidRPr="00C66B4D">
              <w:t xml:space="preserve"> bekræftet, at reglen kan anvendes for in</w:t>
            </w:r>
            <w:r w:rsidRPr="00C66B4D">
              <w:t>d</w:t>
            </w:r>
            <w:r w:rsidRPr="00C66B4D">
              <w:t>komståret 2015, selv om den indkomstoverførsel, der efter reglen i selskabsskattelovens § 3, stk. 4 skal finde sted, i sagens n</w:t>
            </w:r>
            <w:r w:rsidRPr="00C66B4D">
              <w:t>a</w:t>
            </w:r>
            <w:r w:rsidRPr="00C66B4D">
              <w:t>tur først besluttes og effektueres som en udlodning af udbytte i 2016.</w:t>
            </w:r>
          </w:p>
        </w:tc>
        <w:tc>
          <w:tcPr>
            <w:tcW w:w="209" w:type="dxa"/>
            <w:shd w:val="clear" w:color="auto" w:fill="FFFFFF" w:themeFill="background1"/>
          </w:tcPr>
          <w:p w:rsidR="009A36E0" w:rsidRPr="00B5346F" w:rsidRDefault="009A36E0" w:rsidP="00122C71"/>
        </w:tc>
        <w:tc>
          <w:tcPr>
            <w:tcW w:w="3259" w:type="dxa"/>
            <w:tcBorders>
              <w:top w:val="single" w:sz="4" w:space="0" w:color="14143C" w:themeColor="accent1"/>
              <w:bottom w:val="single" w:sz="4" w:space="0" w:color="14143C" w:themeColor="accent1"/>
            </w:tcBorders>
            <w:shd w:val="clear" w:color="auto" w:fill="D2CED8"/>
          </w:tcPr>
          <w:p w:rsidR="009A36E0" w:rsidRDefault="00F66450" w:rsidP="00122C71">
            <w:pPr>
              <w:pStyle w:val="Tabel-BrdtekstmedafstandptekstGaramond"/>
            </w:pPr>
            <w:r>
              <w:t>Der henvises til kommentaren til CEPOS.</w:t>
            </w:r>
          </w:p>
          <w:p w:rsidR="0012378C" w:rsidRDefault="0012378C" w:rsidP="00122C71">
            <w:pPr>
              <w:pStyle w:val="Tabel-BrdtekstmedafstandptekstGaramond"/>
            </w:pPr>
          </w:p>
          <w:p w:rsidR="0012378C" w:rsidRDefault="0012378C" w:rsidP="00122C71">
            <w:pPr>
              <w:pStyle w:val="Tabel-BrdtekstmedafstandptekstGaramond"/>
            </w:pPr>
          </w:p>
          <w:p w:rsidR="0012378C" w:rsidRDefault="0012378C" w:rsidP="00122C71">
            <w:pPr>
              <w:pStyle w:val="Tabel-BrdtekstmedafstandptekstGaramond"/>
            </w:pPr>
          </w:p>
          <w:p w:rsidR="0012378C" w:rsidRDefault="0012378C" w:rsidP="00122C71">
            <w:pPr>
              <w:pStyle w:val="Tabel-BrdtekstmedafstandptekstGaramond"/>
            </w:pPr>
          </w:p>
          <w:p w:rsidR="0012378C" w:rsidRDefault="0012378C" w:rsidP="00122C71">
            <w:pPr>
              <w:pStyle w:val="Tabel-BrdtekstmedafstandptekstGaramond"/>
            </w:pPr>
          </w:p>
          <w:p w:rsidR="0012378C" w:rsidRDefault="0012378C" w:rsidP="00122C71">
            <w:pPr>
              <w:pStyle w:val="Tabel-BrdtekstmedafstandptekstGaramond"/>
            </w:pPr>
          </w:p>
          <w:p w:rsidR="0012378C" w:rsidRDefault="0012378C" w:rsidP="00122C71">
            <w:pPr>
              <w:pStyle w:val="Tabel-BrdtekstmedafstandptekstGaramond"/>
            </w:pPr>
          </w:p>
          <w:p w:rsidR="0012378C" w:rsidRDefault="0012378C" w:rsidP="00122C71">
            <w:pPr>
              <w:pStyle w:val="Tabel-BrdtekstmedafstandptekstGaramond"/>
            </w:pPr>
          </w:p>
          <w:p w:rsidR="0012378C" w:rsidRDefault="0012378C" w:rsidP="00122C71">
            <w:pPr>
              <w:pStyle w:val="Tabel-BrdtekstmedafstandptekstGaramond"/>
            </w:pPr>
          </w:p>
          <w:p w:rsidR="0012378C" w:rsidRDefault="0012378C" w:rsidP="00122C71">
            <w:pPr>
              <w:pStyle w:val="Tabel-BrdtekstmedafstandptekstGaramond"/>
            </w:pPr>
          </w:p>
          <w:p w:rsidR="0012378C" w:rsidRDefault="0012378C" w:rsidP="00122C71">
            <w:pPr>
              <w:pStyle w:val="Tabel-BrdtekstmedafstandptekstGaramond"/>
            </w:pPr>
            <w:r>
              <w:t xml:space="preserve">Der henvises til kommentarerne </w:t>
            </w:r>
            <w:r>
              <w:lastRenderedPageBreak/>
              <w:t xml:space="preserve">til Akademikerne og </w:t>
            </w:r>
            <w:r w:rsidRPr="0012378C">
              <w:t>Danmarks Forsknings- og Innovationspol</w:t>
            </w:r>
            <w:r w:rsidRPr="0012378C">
              <w:t>i</w:t>
            </w:r>
            <w:r w:rsidR="00C14D7D">
              <w:t>tiske Råd.</w:t>
            </w: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E351ED" w:rsidP="00122C71">
            <w:pPr>
              <w:pStyle w:val="Tabel-BrdtekstmedafstandptekstGaramond"/>
            </w:pPr>
            <w:r>
              <w:t xml:space="preserve">Der henvises til kommentaren til </w:t>
            </w:r>
            <w:r w:rsidRPr="001465F2">
              <w:t>Novo Nordisk Fonden, Villum Fonden og Lundbeckfonden</w:t>
            </w:r>
            <w:r>
              <w:t>.</w:t>
            </w: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A24AB8" w:rsidP="00122C71">
            <w:pPr>
              <w:pStyle w:val="Tabel-BrdtekstmedafstandptekstGaramond"/>
            </w:pPr>
            <w:r>
              <w:t>Skatteministeriet er enig i, at den beskrevne ændring vil medføre, at en fond ikke vil kunne opre</w:t>
            </w:r>
            <w:r>
              <w:t>t</w:t>
            </w:r>
            <w:r>
              <w:t>holde en beskatning efter realis</w:t>
            </w:r>
            <w:r>
              <w:t>a</w:t>
            </w:r>
            <w:r>
              <w:t>tionsprincippet af fondens bør</w:t>
            </w:r>
            <w:r>
              <w:t>s</w:t>
            </w:r>
            <w:r>
              <w:t>noterede porteføljeaktier, hvis fonden foretager konsolidering med beskattede midler. Dette har ikke været hensigten, og der vil derfor til 2. behandlingen af lovforslaget blive fremsat et æ</w:t>
            </w:r>
            <w:r>
              <w:t>n</w:t>
            </w:r>
            <w:r>
              <w:t>dringsforslag, der retter op</w:t>
            </w:r>
            <w:r w:rsidR="00D9463D">
              <w:t xml:space="preserve"> he</w:t>
            </w:r>
            <w:r w:rsidR="00D9463D">
              <w:t>r</w:t>
            </w:r>
            <w:r w:rsidR="00D9463D">
              <w:lastRenderedPageBreak/>
              <w:t>på</w:t>
            </w:r>
            <w:r>
              <w:t>.</w:t>
            </w:r>
          </w:p>
          <w:p w:rsidR="004B241E" w:rsidRDefault="004B241E" w:rsidP="00122C71">
            <w:pPr>
              <w:pStyle w:val="Tabel-BrdtekstmedafstandptekstGaramond"/>
            </w:pPr>
          </w:p>
          <w:p w:rsidR="004B241E" w:rsidRDefault="004B241E" w:rsidP="00122C71">
            <w:pPr>
              <w:pStyle w:val="Tabel-BrdtekstmedafstandptekstGaramond"/>
            </w:pPr>
          </w:p>
          <w:p w:rsidR="004B241E" w:rsidRDefault="004B241E" w:rsidP="00122C71">
            <w:pPr>
              <w:pStyle w:val="Tabel-BrdtekstmedafstandptekstGaramond"/>
            </w:pPr>
          </w:p>
          <w:p w:rsidR="004B241E" w:rsidRDefault="004B241E" w:rsidP="00122C71">
            <w:pPr>
              <w:pStyle w:val="Tabel-BrdtekstmedafstandptekstGaramond"/>
            </w:pPr>
          </w:p>
          <w:p w:rsidR="00B9051E" w:rsidRDefault="00B9051E" w:rsidP="00122C71">
            <w:pPr>
              <w:pStyle w:val="Tabel-BrdtekstmedafstandptekstGaramond"/>
            </w:pPr>
          </w:p>
          <w:p w:rsidR="00B9051E" w:rsidRDefault="00B9051E" w:rsidP="00122C71">
            <w:pPr>
              <w:pStyle w:val="Tabel-BrdtekstmedafstandptekstGaramond"/>
            </w:pPr>
          </w:p>
          <w:p w:rsidR="00B9051E" w:rsidRDefault="00B9051E" w:rsidP="00122C71">
            <w:pPr>
              <w:pStyle w:val="Tabel-BrdtekstmedafstandptekstGaramond"/>
            </w:pPr>
          </w:p>
          <w:p w:rsidR="004B241E" w:rsidRDefault="004B241E" w:rsidP="00122C71">
            <w:pPr>
              <w:pStyle w:val="Tabel-BrdtekstmedafstandptekstGaramond"/>
            </w:pPr>
          </w:p>
          <w:p w:rsidR="004B241E" w:rsidRDefault="004B241E"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C14D7D" w:rsidRDefault="00C14D7D" w:rsidP="00122C71">
            <w:pPr>
              <w:pStyle w:val="Tabel-BrdtekstmedafstandptekstGaramond"/>
            </w:pPr>
          </w:p>
          <w:p w:rsidR="004B241E" w:rsidRDefault="004B241E" w:rsidP="00122C71">
            <w:pPr>
              <w:pStyle w:val="Tabel-BrdtekstmedafstandptekstGaramond"/>
            </w:pPr>
          </w:p>
          <w:p w:rsidR="00ED3A84" w:rsidRDefault="00ED3A84" w:rsidP="00122C71">
            <w:pPr>
              <w:pStyle w:val="Tabel-BrdtekstmedafstandptekstGaramond"/>
            </w:pPr>
          </w:p>
          <w:p w:rsidR="00ED3A84" w:rsidRDefault="00ED3A84" w:rsidP="00122C71">
            <w:pPr>
              <w:pStyle w:val="Tabel-BrdtekstmedafstandptekstGaramond"/>
            </w:pPr>
          </w:p>
          <w:p w:rsidR="00ED3A84" w:rsidRDefault="00ED3A84" w:rsidP="00122C71">
            <w:pPr>
              <w:pStyle w:val="Tabel-BrdtekstmedafstandptekstGaramond"/>
            </w:pPr>
          </w:p>
          <w:p w:rsidR="004B241E" w:rsidRDefault="004B241E" w:rsidP="00122C71">
            <w:pPr>
              <w:pStyle w:val="Tabel-BrdtekstmedafstandptekstGaramond"/>
            </w:pPr>
          </w:p>
          <w:p w:rsidR="003549A7" w:rsidRDefault="003549A7" w:rsidP="004B241E">
            <w:pPr>
              <w:pStyle w:val="Tabel-BrdtekstmedafstandptekstGaramond"/>
            </w:pPr>
          </w:p>
          <w:p w:rsidR="003549A7" w:rsidRDefault="003549A7" w:rsidP="004B241E">
            <w:pPr>
              <w:pStyle w:val="Tabel-BrdtekstmedafstandptekstGaramond"/>
            </w:pPr>
          </w:p>
          <w:p w:rsidR="003549A7" w:rsidRDefault="003549A7" w:rsidP="004B241E">
            <w:pPr>
              <w:pStyle w:val="Tabel-BrdtekstmedafstandptekstGaramond"/>
            </w:pPr>
          </w:p>
          <w:p w:rsidR="003549A7" w:rsidRDefault="003549A7" w:rsidP="004B241E">
            <w:pPr>
              <w:pStyle w:val="Tabel-BrdtekstmedafstandptekstGaramond"/>
            </w:pPr>
          </w:p>
          <w:p w:rsidR="003549A7" w:rsidRDefault="003549A7" w:rsidP="004B241E">
            <w:pPr>
              <w:pStyle w:val="Tabel-BrdtekstmedafstandptekstGaramond"/>
            </w:pPr>
          </w:p>
          <w:p w:rsidR="003549A7" w:rsidRDefault="003549A7" w:rsidP="004B241E">
            <w:pPr>
              <w:pStyle w:val="Tabel-BrdtekstmedafstandptekstGaramond"/>
            </w:pPr>
          </w:p>
          <w:p w:rsidR="003549A7" w:rsidRDefault="003549A7" w:rsidP="004B241E">
            <w:pPr>
              <w:pStyle w:val="Tabel-BrdtekstmedafstandptekstGaramond"/>
            </w:pPr>
          </w:p>
          <w:p w:rsidR="003549A7" w:rsidRDefault="003549A7" w:rsidP="004B241E">
            <w:pPr>
              <w:pStyle w:val="Tabel-BrdtekstmedafstandptekstGaramond"/>
            </w:pPr>
          </w:p>
          <w:p w:rsidR="003549A7" w:rsidRDefault="003549A7" w:rsidP="004B241E">
            <w:pPr>
              <w:pStyle w:val="Tabel-BrdtekstmedafstandptekstGaramond"/>
            </w:pPr>
          </w:p>
          <w:p w:rsidR="003549A7" w:rsidRDefault="003549A7" w:rsidP="004B241E">
            <w:pPr>
              <w:pStyle w:val="Tabel-BrdtekstmedafstandptekstGaramond"/>
            </w:pPr>
          </w:p>
          <w:p w:rsidR="003549A7" w:rsidRDefault="003549A7" w:rsidP="004B241E">
            <w:pPr>
              <w:pStyle w:val="Tabel-BrdtekstmedafstandptekstGaramond"/>
            </w:pPr>
          </w:p>
          <w:p w:rsidR="003549A7" w:rsidRDefault="003549A7" w:rsidP="004B241E">
            <w:pPr>
              <w:pStyle w:val="Tabel-BrdtekstmedafstandptekstGaramond"/>
            </w:pPr>
          </w:p>
          <w:p w:rsidR="003549A7" w:rsidRDefault="003549A7" w:rsidP="004B241E">
            <w:pPr>
              <w:pStyle w:val="Tabel-BrdtekstmedafstandptekstGaramond"/>
            </w:pPr>
          </w:p>
          <w:p w:rsidR="003549A7" w:rsidRDefault="003549A7" w:rsidP="004B241E">
            <w:pPr>
              <w:pStyle w:val="Tabel-BrdtekstmedafstandptekstGaramond"/>
            </w:pPr>
          </w:p>
          <w:p w:rsidR="004B241E" w:rsidRDefault="00B505A8" w:rsidP="004B241E">
            <w:pPr>
              <w:pStyle w:val="Tabel-BrdtekstmedafstandptekstGaramond"/>
            </w:pPr>
            <w:r>
              <w:t xml:space="preserve">Regeringen </w:t>
            </w:r>
            <w:r w:rsidR="004B241E">
              <w:t>vil til 2. behandli</w:t>
            </w:r>
            <w:r w:rsidR="004B241E">
              <w:t>n</w:t>
            </w:r>
            <w:r w:rsidR="004B241E">
              <w:t>gen af lovforslaget stille</w:t>
            </w:r>
            <w:r w:rsidR="00ED3A84">
              <w:t xml:space="preserve"> et</w:t>
            </w:r>
            <w:r w:rsidR="004B241E">
              <w:t xml:space="preserve"> æ</w:t>
            </w:r>
            <w:r w:rsidR="004B241E">
              <w:t>n</w:t>
            </w:r>
            <w:r w:rsidR="004B241E">
              <w:t xml:space="preserve">dringsforslag </w:t>
            </w:r>
            <w:r w:rsidR="004B241E" w:rsidRPr="001465F2">
              <w:t>om, at den foresl</w:t>
            </w:r>
            <w:r w:rsidR="004B241E" w:rsidRPr="001465F2">
              <w:t>å</w:t>
            </w:r>
            <w:r w:rsidR="004B241E" w:rsidRPr="001465F2">
              <w:t>ede ophævelse af overførselsre</w:t>
            </w:r>
            <w:r w:rsidR="004B241E" w:rsidRPr="001465F2">
              <w:t>g</w:t>
            </w:r>
            <w:r w:rsidR="004B241E" w:rsidRPr="001465F2">
              <w:t>len udgår af forslaget</w:t>
            </w:r>
            <w:r w:rsidR="004B241E">
              <w:t xml:space="preserve">. </w:t>
            </w:r>
          </w:p>
          <w:p w:rsidR="004B241E" w:rsidRDefault="004B241E" w:rsidP="004B241E">
            <w:pPr>
              <w:pStyle w:val="Tabel-BrdtekstmedafstandptekstGaramond"/>
            </w:pPr>
          </w:p>
          <w:p w:rsidR="004B241E" w:rsidRDefault="004B241E" w:rsidP="004B241E">
            <w:pPr>
              <w:pStyle w:val="Tabel-BrdtekstmedafstandptekstGaramond"/>
            </w:pPr>
            <w:r>
              <w:t xml:space="preserve">Baggrunden herfor er nærmere beskrevet i kommentaren til </w:t>
            </w:r>
            <w:r w:rsidRPr="001465F2">
              <w:t>D</w:t>
            </w:r>
            <w:r w:rsidRPr="001465F2">
              <w:t>e</w:t>
            </w:r>
            <w:r w:rsidRPr="001465F2">
              <w:lastRenderedPageBreak/>
              <w:t>loitte, EY, KPMG og PwC</w:t>
            </w:r>
            <w:r>
              <w:t>.</w:t>
            </w: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4B241E" w:rsidRDefault="004B241E" w:rsidP="004B241E">
            <w:pPr>
              <w:pStyle w:val="Tabel-BrdtekstmedafstandptekstGaramond"/>
            </w:pPr>
          </w:p>
          <w:p w:rsidR="00387934" w:rsidRDefault="00387934" w:rsidP="004B241E">
            <w:pPr>
              <w:pStyle w:val="Tabel-BrdtekstmedafstandptekstGaramond"/>
            </w:pPr>
          </w:p>
          <w:p w:rsidR="004B241E" w:rsidRPr="00B5346F" w:rsidRDefault="004B241E" w:rsidP="004B241E">
            <w:pPr>
              <w:pStyle w:val="Tabel-BrdtekstmedafstandptekstGaramond"/>
            </w:pPr>
            <w:r>
              <w:t xml:space="preserve">Der henvises til kommentaren til </w:t>
            </w:r>
            <w:r w:rsidR="00D23FAB">
              <w:t>Carlsbergfondet.</w:t>
            </w:r>
          </w:p>
        </w:tc>
      </w:tr>
      <w:tr w:rsidR="009327C6" w:rsidRPr="00B5346F" w:rsidTr="00C87589">
        <w:tc>
          <w:tcPr>
            <w:tcW w:w="2653" w:type="dxa"/>
            <w:tcBorders>
              <w:top w:val="single" w:sz="4" w:space="0" w:color="D1C5C3" w:themeColor="accent3"/>
              <w:bottom w:val="single" w:sz="4" w:space="0" w:color="D1C5C3" w:themeColor="accent3"/>
            </w:tcBorders>
            <w:shd w:val="clear" w:color="auto" w:fill="FBF9F9"/>
          </w:tcPr>
          <w:p w:rsidR="009327C6" w:rsidRDefault="009327C6" w:rsidP="009A36E0">
            <w:pPr>
              <w:pStyle w:val="Tabel-BrdtekstmedafstandptekstGaramond"/>
              <w:rPr>
                <w:i/>
              </w:rPr>
            </w:pPr>
            <w:r>
              <w:rPr>
                <w:i/>
              </w:rPr>
              <w:lastRenderedPageBreak/>
              <w:t>Ingeniørforeningen</w:t>
            </w:r>
          </w:p>
        </w:tc>
        <w:tc>
          <w:tcPr>
            <w:tcW w:w="194" w:type="dxa"/>
            <w:shd w:val="clear" w:color="auto" w:fill="FFFFFF" w:themeFill="background1"/>
          </w:tcPr>
          <w:p w:rsidR="009327C6" w:rsidRPr="00B5346F" w:rsidRDefault="009327C6" w:rsidP="00122C71"/>
        </w:tc>
        <w:tc>
          <w:tcPr>
            <w:tcW w:w="3324" w:type="dxa"/>
            <w:tcBorders>
              <w:top w:val="single" w:sz="4" w:space="0" w:color="D1C5C3" w:themeColor="accent3"/>
              <w:bottom w:val="single" w:sz="4" w:space="0" w:color="D1C5C3" w:themeColor="accent3"/>
            </w:tcBorders>
            <w:shd w:val="clear" w:color="auto" w:fill="FBF9F9"/>
          </w:tcPr>
          <w:p w:rsidR="002B5B82" w:rsidRDefault="002B5B82" w:rsidP="002B5B82">
            <w:pPr>
              <w:pStyle w:val="Tabel-BrdtekstmedafstandptekstGaramond"/>
            </w:pPr>
            <w:r w:rsidRPr="002B5B82">
              <w:t>Ingeniørforeningen er meget b</w:t>
            </w:r>
            <w:r w:rsidRPr="002B5B82">
              <w:t>e</w:t>
            </w:r>
            <w:r w:rsidRPr="002B5B82">
              <w:t xml:space="preserve">kymret for, at </w:t>
            </w:r>
            <w:r>
              <w:t xml:space="preserve">det </w:t>
            </w:r>
            <w:r w:rsidRPr="002B5B82">
              <w:t>vil have</w:t>
            </w:r>
            <w:r>
              <w:t xml:space="preserve"> </w:t>
            </w:r>
            <w:r w:rsidRPr="002B5B82">
              <w:t xml:space="preserve">store </w:t>
            </w:r>
            <w:r>
              <w:t xml:space="preserve">negative </w:t>
            </w:r>
            <w:r w:rsidRPr="002B5B82">
              <w:t>konsekvenser for den offentlige forskning og uddanne</w:t>
            </w:r>
            <w:r w:rsidRPr="002B5B82">
              <w:t>l</w:t>
            </w:r>
            <w:r w:rsidRPr="002B5B82">
              <w:t>se</w:t>
            </w:r>
            <w:r>
              <w:t xml:space="preserve">, hvis lovforslaget </w:t>
            </w:r>
            <w:r w:rsidRPr="002B5B82">
              <w:t>bliver vedt</w:t>
            </w:r>
            <w:r w:rsidRPr="002B5B82">
              <w:t>a</w:t>
            </w:r>
            <w:r w:rsidRPr="002B5B82">
              <w:t>get i sin nuværende form</w:t>
            </w:r>
            <w:r>
              <w:t xml:space="preserve">. </w:t>
            </w:r>
          </w:p>
          <w:p w:rsidR="002B5B82" w:rsidRPr="002B5B82" w:rsidRDefault="002B5B82" w:rsidP="002B5B82">
            <w:pPr>
              <w:pStyle w:val="Tabel-BrdtekstmedafstandptekstGaramond"/>
            </w:pPr>
          </w:p>
          <w:p w:rsidR="002B5B82" w:rsidRPr="002B5B82" w:rsidRDefault="002B5B82" w:rsidP="002B5B82">
            <w:pPr>
              <w:pStyle w:val="Tabel-BrdtekstmedafstandptekstGaramond"/>
            </w:pPr>
            <w:r>
              <w:t xml:space="preserve">Der peges på, at det med aftalen om finansloven for 2016 </w:t>
            </w:r>
            <w:r w:rsidRPr="002B5B82">
              <w:t xml:space="preserve">er gået den forkerte vej </w:t>
            </w:r>
            <w:r>
              <w:t>for den offentl</w:t>
            </w:r>
            <w:r>
              <w:t>i</w:t>
            </w:r>
            <w:r>
              <w:t xml:space="preserve">ge forskning, da finanslovsaftalen indebærer </w:t>
            </w:r>
            <w:r w:rsidRPr="002B5B82">
              <w:t>besparelser</w:t>
            </w:r>
            <w:r>
              <w:t xml:space="preserve"> </w:t>
            </w:r>
            <w:r w:rsidRPr="002B5B82">
              <w:t>på fors</w:t>
            </w:r>
            <w:r w:rsidRPr="002B5B82">
              <w:t>k</w:t>
            </w:r>
            <w:r w:rsidRPr="002B5B82">
              <w:t>ningsområdet på 1,4 mia. kr.</w:t>
            </w:r>
            <w:r>
              <w:t xml:space="preserve"> </w:t>
            </w:r>
            <w:r w:rsidRPr="002B5B82">
              <w:t>Samtidig er der besluttet grøn</w:t>
            </w:r>
            <w:r w:rsidRPr="002B5B82">
              <w:t>t</w:t>
            </w:r>
            <w:r w:rsidRPr="002B5B82">
              <w:t>høsterbesparelser på 2</w:t>
            </w:r>
            <w:r>
              <w:t xml:space="preserve"> pct. p</w:t>
            </w:r>
            <w:r w:rsidRPr="002B5B82">
              <w:t>å</w:t>
            </w:r>
          </w:p>
          <w:p w:rsidR="002B5B82" w:rsidRDefault="002B5B82" w:rsidP="002B5B82">
            <w:pPr>
              <w:pStyle w:val="Tabel-BrdtekstmedafstandptekstGaramond"/>
            </w:pPr>
            <w:r w:rsidRPr="002B5B82">
              <w:t>uddannelsesområdet, som ligel</w:t>
            </w:r>
            <w:r w:rsidRPr="002B5B82">
              <w:t>e</w:t>
            </w:r>
            <w:r w:rsidRPr="002B5B82">
              <w:t xml:space="preserve">des vil ramme forskningen. </w:t>
            </w:r>
          </w:p>
          <w:p w:rsidR="002B5B82" w:rsidRPr="002B5B82" w:rsidRDefault="002B5B82" w:rsidP="002B5B82">
            <w:pPr>
              <w:pStyle w:val="Tabel-BrdtekstmedafstandptekstGaramond"/>
            </w:pPr>
          </w:p>
          <w:p w:rsidR="002B5B82" w:rsidRPr="002B5B82" w:rsidRDefault="009634BA" w:rsidP="002B5B82">
            <w:pPr>
              <w:pStyle w:val="Tabel-BrdtekstmedafstandptekstGaramond"/>
            </w:pPr>
            <w:r>
              <w:t>Ingeniørforenin</w:t>
            </w:r>
            <w:r w:rsidR="00A95CEF">
              <w:t>g</w:t>
            </w:r>
            <w:r>
              <w:t>en anfører, at l</w:t>
            </w:r>
            <w:r w:rsidR="002B5B82" w:rsidRPr="002B5B82">
              <w:t xml:space="preserve">ovforslaget forringer private fondes rammer for at </w:t>
            </w:r>
            <w:r w:rsidR="002B5B82">
              <w:t xml:space="preserve">yde </w:t>
            </w:r>
            <w:r w:rsidR="002B5B82" w:rsidRPr="002B5B82">
              <w:t xml:space="preserve">støtte </w:t>
            </w:r>
            <w:r w:rsidR="002B5B82">
              <w:lastRenderedPageBreak/>
              <w:t xml:space="preserve">til </w:t>
            </w:r>
            <w:r w:rsidR="002B5B82" w:rsidRPr="002B5B82">
              <w:t>dansk forskning, og det resu</w:t>
            </w:r>
            <w:r w:rsidR="002B5B82" w:rsidRPr="002B5B82">
              <w:t>l</w:t>
            </w:r>
            <w:r w:rsidR="002B5B82" w:rsidRPr="002B5B82">
              <w:t>terer i en yderligere</w:t>
            </w:r>
            <w:r w:rsidR="002B5B82">
              <w:t xml:space="preserve"> </w:t>
            </w:r>
            <w:r w:rsidR="002B5B82" w:rsidRPr="002B5B82">
              <w:t>voldsom fo</w:t>
            </w:r>
            <w:r w:rsidR="002B5B82" w:rsidRPr="002B5B82">
              <w:t>r</w:t>
            </w:r>
            <w:r w:rsidR="002B5B82" w:rsidRPr="002B5B82">
              <w:t>værring for dansk forskning</w:t>
            </w:r>
            <w:r w:rsidR="002B5B82">
              <w:t>.</w:t>
            </w:r>
            <w:r w:rsidR="002B5B82" w:rsidRPr="002B5B82">
              <w:t xml:space="preserve"> Fondenes uddelinger spiller </w:t>
            </w:r>
            <w:r w:rsidR="002B5B82">
              <w:t>sål</w:t>
            </w:r>
            <w:r w:rsidR="002B5B82">
              <w:t>e</w:t>
            </w:r>
            <w:r w:rsidR="002B5B82">
              <w:t xml:space="preserve">des </w:t>
            </w:r>
            <w:r w:rsidR="002B5B82" w:rsidRPr="002B5B82">
              <w:t>en stadig</w:t>
            </w:r>
            <w:r w:rsidR="002B5B82">
              <w:t xml:space="preserve"> </w:t>
            </w:r>
            <w:r w:rsidR="002B5B82" w:rsidRPr="002B5B82">
              <w:t>større rolle på la</w:t>
            </w:r>
            <w:r w:rsidR="002B5B82" w:rsidRPr="002B5B82">
              <w:t>n</w:t>
            </w:r>
            <w:r w:rsidR="002B5B82" w:rsidRPr="002B5B82">
              <w:t>dets universiteter. Siden 2008 er de private fondsmidler alene til universiteterne steget fra</w:t>
            </w:r>
          </w:p>
          <w:p w:rsidR="002B5B82" w:rsidRDefault="002B5B82" w:rsidP="002B5B82">
            <w:pPr>
              <w:pStyle w:val="Tabel-BrdtekstmedafstandptekstGaramond"/>
            </w:pPr>
            <w:r w:rsidRPr="002B5B82">
              <w:t>729 mio.</w:t>
            </w:r>
            <w:r>
              <w:t xml:space="preserve"> kr.</w:t>
            </w:r>
            <w:r w:rsidRPr="002B5B82">
              <w:t xml:space="preserve"> om året til 1</w:t>
            </w:r>
            <w:r w:rsidR="00E02699">
              <w:t>.</w:t>
            </w:r>
            <w:r w:rsidRPr="002B5B82">
              <w:t xml:space="preserve">415 mio. </w:t>
            </w:r>
            <w:r w:rsidR="00E02699">
              <w:t xml:space="preserve">kr. </w:t>
            </w:r>
            <w:r w:rsidRPr="002B5B82">
              <w:t>i 2013. Det vurderes, at fondenes bevillinger årligt fina</w:t>
            </w:r>
            <w:r w:rsidRPr="002B5B82">
              <w:t>n</w:t>
            </w:r>
            <w:r w:rsidRPr="002B5B82">
              <w:t>sierer flere</w:t>
            </w:r>
            <w:r w:rsidR="00E02699">
              <w:t xml:space="preserve"> </w:t>
            </w:r>
            <w:r w:rsidRPr="002B5B82">
              <w:t>tusinde årsværk på de danske universiteter og hospit</w:t>
            </w:r>
            <w:r w:rsidRPr="002B5B82">
              <w:t>a</w:t>
            </w:r>
            <w:r w:rsidRPr="002B5B82">
              <w:t>ler. Reducerede uddelinger fra fondene vil således</w:t>
            </w:r>
            <w:r w:rsidR="00E02699">
              <w:t xml:space="preserve"> </w:t>
            </w:r>
            <w:r w:rsidRPr="002B5B82">
              <w:t>have en d</w:t>
            </w:r>
            <w:r w:rsidRPr="002B5B82">
              <w:t>i</w:t>
            </w:r>
            <w:r w:rsidRPr="002B5B82">
              <w:t>rekte og negativ effekt på brutt</w:t>
            </w:r>
            <w:r w:rsidRPr="002B5B82">
              <w:t>o</w:t>
            </w:r>
            <w:r w:rsidRPr="002B5B82">
              <w:t>nationalproduktet og dermed væksten i Danmark.</w:t>
            </w:r>
          </w:p>
          <w:p w:rsidR="00E02699" w:rsidRPr="002B5B82" w:rsidRDefault="00E02699" w:rsidP="002B5B82">
            <w:pPr>
              <w:pStyle w:val="Tabel-BrdtekstmedafstandptekstGaramond"/>
            </w:pPr>
          </w:p>
          <w:p w:rsidR="00E02699" w:rsidRDefault="002B5B82" w:rsidP="002B5B82">
            <w:pPr>
              <w:pStyle w:val="Tabel-BrdtekstmedafstandptekstGaramond"/>
            </w:pPr>
            <w:r w:rsidRPr="002B5B82">
              <w:t>Fondene vurderer, at konsekve</w:t>
            </w:r>
            <w:r w:rsidRPr="002B5B82">
              <w:t>n</w:t>
            </w:r>
            <w:r w:rsidRPr="002B5B82">
              <w:t>serne af det fremsatte lovforslag vil have meget</w:t>
            </w:r>
            <w:r w:rsidR="00E02699">
              <w:t xml:space="preserve"> </w:t>
            </w:r>
            <w:r w:rsidRPr="002B5B82">
              <w:t>større økonom</w:t>
            </w:r>
            <w:r w:rsidRPr="002B5B82">
              <w:t>i</w:t>
            </w:r>
            <w:r w:rsidRPr="002B5B82">
              <w:t>ske konsekvenser end de</w:t>
            </w:r>
            <w:r w:rsidR="00E02699">
              <w:t>t umi</w:t>
            </w:r>
            <w:r w:rsidR="00E02699">
              <w:t>d</w:t>
            </w:r>
            <w:r w:rsidR="00E02699">
              <w:t xml:space="preserve">delbare merprovenu på 250 mio. kr. til staten, </w:t>
            </w:r>
            <w:r w:rsidRPr="002B5B82">
              <w:t xml:space="preserve">der </w:t>
            </w:r>
            <w:r w:rsidR="00E02699">
              <w:t>fremgår af</w:t>
            </w:r>
            <w:r w:rsidRPr="002B5B82">
              <w:t xml:space="preserve"> lo</w:t>
            </w:r>
            <w:r w:rsidRPr="002B5B82">
              <w:t>v</w:t>
            </w:r>
            <w:r w:rsidRPr="002B5B82">
              <w:t xml:space="preserve">forslaget. </w:t>
            </w:r>
          </w:p>
          <w:p w:rsidR="00E02699" w:rsidRPr="002B5B82" w:rsidRDefault="00E02699" w:rsidP="002B5B82">
            <w:pPr>
              <w:pStyle w:val="Tabel-BrdtekstmedafstandptekstGaramond"/>
            </w:pPr>
          </w:p>
          <w:p w:rsidR="009327C6" w:rsidRDefault="002B5B82" w:rsidP="00E02699">
            <w:pPr>
              <w:pStyle w:val="Tabel-BrdtekstmedafstandptekstGaramond"/>
            </w:pPr>
            <w:r w:rsidRPr="002B5B82">
              <w:t>Ingeniørforeningen håber på den baggrund, at Skatteministeriet og regeringen vil genoverveje lo</w:t>
            </w:r>
            <w:r w:rsidRPr="002B5B82">
              <w:t>v</w:t>
            </w:r>
            <w:r w:rsidRPr="002B5B82">
              <w:t>forslaget,</w:t>
            </w:r>
            <w:r w:rsidR="00E02699">
              <w:t xml:space="preserve"> </w:t>
            </w:r>
            <w:r w:rsidRPr="002B5B82">
              <w:t>da det vil have store konsekvenser for den erhverv</w:t>
            </w:r>
            <w:r w:rsidRPr="002B5B82">
              <w:t>s</w:t>
            </w:r>
            <w:r w:rsidRPr="002B5B82">
              <w:t>rettede forskning, og dermed k</w:t>
            </w:r>
            <w:r w:rsidRPr="002B5B82">
              <w:t>o</w:t>
            </w:r>
            <w:r w:rsidRPr="002B5B82">
              <w:t>ste job og vækst for det</w:t>
            </w:r>
            <w:r w:rsidR="00E02699">
              <w:t xml:space="preserve"> </w:t>
            </w:r>
            <w:r w:rsidRPr="002B5B82">
              <w:t>danske samfund.</w:t>
            </w:r>
          </w:p>
        </w:tc>
        <w:tc>
          <w:tcPr>
            <w:tcW w:w="209" w:type="dxa"/>
            <w:shd w:val="clear" w:color="auto" w:fill="FFFFFF" w:themeFill="background1"/>
          </w:tcPr>
          <w:p w:rsidR="009327C6" w:rsidRPr="00B5346F" w:rsidRDefault="009327C6" w:rsidP="00122C71"/>
        </w:tc>
        <w:tc>
          <w:tcPr>
            <w:tcW w:w="3259" w:type="dxa"/>
            <w:tcBorders>
              <w:top w:val="single" w:sz="4" w:space="0" w:color="14143C" w:themeColor="accent1"/>
              <w:bottom w:val="single" w:sz="4" w:space="0" w:color="14143C" w:themeColor="accent1"/>
            </w:tcBorders>
            <w:shd w:val="clear" w:color="auto" w:fill="D2CED8"/>
          </w:tcPr>
          <w:p w:rsidR="009327C6" w:rsidRPr="00B5346F" w:rsidRDefault="00B06C9F" w:rsidP="00B06C9F">
            <w:pPr>
              <w:pStyle w:val="Tabel-BrdtekstmedafstandptekstGaramond"/>
            </w:pPr>
            <w:r>
              <w:t xml:space="preserve">Der henvises til kommentarerne til Akademikerne og </w:t>
            </w:r>
            <w:r w:rsidRPr="0012378C">
              <w:t>Danmarks Forsknings- og Innovationspol</w:t>
            </w:r>
            <w:r w:rsidRPr="0012378C">
              <w:t>i</w:t>
            </w:r>
            <w:r>
              <w:t>tiske Råd.</w:t>
            </w:r>
          </w:p>
        </w:tc>
      </w:tr>
      <w:tr w:rsidR="00C513CA" w:rsidRPr="00B5346F" w:rsidTr="00C87589">
        <w:tc>
          <w:tcPr>
            <w:tcW w:w="2653" w:type="dxa"/>
            <w:tcBorders>
              <w:top w:val="single" w:sz="4" w:space="0" w:color="D1C5C3" w:themeColor="accent3"/>
              <w:bottom w:val="single" w:sz="4" w:space="0" w:color="D1C5C3" w:themeColor="accent3"/>
            </w:tcBorders>
            <w:shd w:val="clear" w:color="auto" w:fill="FBF9F9"/>
          </w:tcPr>
          <w:p w:rsidR="00C513CA" w:rsidRDefault="00C513CA" w:rsidP="00224650">
            <w:pPr>
              <w:pStyle w:val="Tabel-BrdtekstmedafstandptekstGaramond"/>
              <w:rPr>
                <w:i/>
              </w:rPr>
            </w:pPr>
            <w:r>
              <w:rPr>
                <w:i/>
              </w:rPr>
              <w:lastRenderedPageBreak/>
              <w:t>Lægemiddelindustriforeningen, L</w:t>
            </w:r>
            <w:r w:rsidR="00310554">
              <w:rPr>
                <w:i/>
              </w:rPr>
              <w:t>if</w:t>
            </w:r>
          </w:p>
        </w:tc>
        <w:tc>
          <w:tcPr>
            <w:tcW w:w="194" w:type="dxa"/>
            <w:shd w:val="clear" w:color="auto" w:fill="FFFFFF" w:themeFill="background1"/>
          </w:tcPr>
          <w:p w:rsidR="00C513CA" w:rsidRPr="00B5346F" w:rsidRDefault="00C513CA" w:rsidP="00122C71"/>
        </w:tc>
        <w:tc>
          <w:tcPr>
            <w:tcW w:w="3324" w:type="dxa"/>
            <w:tcBorders>
              <w:top w:val="single" w:sz="4" w:space="0" w:color="D1C5C3" w:themeColor="accent3"/>
              <w:bottom w:val="single" w:sz="4" w:space="0" w:color="D1C5C3" w:themeColor="accent3"/>
            </w:tcBorders>
            <w:shd w:val="clear" w:color="auto" w:fill="FBF9F9"/>
          </w:tcPr>
          <w:p w:rsidR="00310554" w:rsidRDefault="00310554" w:rsidP="00310554">
            <w:pPr>
              <w:pStyle w:val="Tabel-BrdtekstmedafstandptekstGaramond"/>
            </w:pPr>
            <w:r>
              <w:t>L</w:t>
            </w:r>
            <w:r w:rsidR="009634BA">
              <w:t>if anfører, at l</w:t>
            </w:r>
            <w:r>
              <w:t>æ</w:t>
            </w:r>
            <w:r w:rsidRPr="00310554">
              <w:t>gemiddelind</w:t>
            </w:r>
            <w:r w:rsidRPr="00310554">
              <w:t>u</w:t>
            </w:r>
            <w:r w:rsidRPr="00310554">
              <w:t>strien investerer mere end 10 mia. kr. om året i privat lægemi</w:t>
            </w:r>
            <w:r w:rsidRPr="00310554">
              <w:t>d</w:t>
            </w:r>
            <w:r w:rsidRPr="00310554">
              <w:t>delforskning i Danmark, hvilket svarer til 28 pct. af al privat forskning. Denne omfattende private forskning fo</w:t>
            </w:r>
            <w:r>
              <w:t xml:space="preserve">regår i et tæt </w:t>
            </w:r>
            <w:r>
              <w:lastRenderedPageBreak/>
              <w:t>sam</w:t>
            </w:r>
            <w:r w:rsidRPr="00310554">
              <w:t>spil med og er helt afhængig af den offentligt udførte grun</w:t>
            </w:r>
            <w:r w:rsidRPr="00310554">
              <w:t>d</w:t>
            </w:r>
            <w:r w:rsidRPr="00310554">
              <w:t>forskning på universiteterne og den kliniske sundhedsforskning, som foregår på landets hospit</w:t>
            </w:r>
            <w:r w:rsidRPr="00310554">
              <w:t>a</w:t>
            </w:r>
            <w:r w:rsidRPr="00310554">
              <w:t xml:space="preserve">ler. </w:t>
            </w:r>
          </w:p>
          <w:p w:rsidR="00310554" w:rsidRPr="00310554" w:rsidRDefault="00310554" w:rsidP="00310554">
            <w:pPr>
              <w:pStyle w:val="Tabel-BrdtekstmedafstandptekstGaramond"/>
            </w:pPr>
          </w:p>
          <w:p w:rsidR="00310554" w:rsidRDefault="00310554" w:rsidP="00310554">
            <w:pPr>
              <w:pStyle w:val="Tabel-BrdtekstmedafstandptekstGaramond"/>
            </w:pPr>
            <w:r w:rsidRPr="00310554">
              <w:t>Den offentligt udførte sundhed</w:t>
            </w:r>
            <w:r w:rsidRPr="00310554">
              <w:t>s</w:t>
            </w:r>
            <w:r w:rsidRPr="00310554">
              <w:t>forskning generelt og i særdele</w:t>
            </w:r>
            <w:r w:rsidRPr="00310554">
              <w:t>s</w:t>
            </w:r>
            <w:r w:rsidRPr="00310554">
              <w:t>hed den offentligt udførte læg</w:t>
            </w:r>
            <w:r w:rsidRPr="00310554">
              <w:t>e</w:t>
            </w:r>
            <w:r>
              <w:t>middel</w:t>
            </w:r>
            <w:r w:rsidRPr="00310554">
              <w:t>forskning er i dag dybt a</w:t>
            </w:r>
            <w:r w:rsidRPr="00310554">
              <w:t>f</w:t>
            </w:r>
            <w:r w:rsidRPr="00310554">
              <w:t>hængig af private fondes udd</w:t>
            </w:r>
            <w:r w:rsidRPr="00310554">
              <w:t>e</w:t>
            </w:r>
            <w:r w:rsidRPr="00310554">
              <w:t>linger til forskning. På lægemi</w:t>
            </w:r>
            <w:r w:rsidRPr="00310554">
              <w:t>d</w:t>
            </w:r>
            <w:r w:rsidRPr="00310554">
              <w:t>delområdet er det sådan, at priv</w:t>
            </w:r>
            <w:r w:rsidRPr="00310554">
              <w:t>a</w:t>
            </w:r>
            <w:r w:rsidRPr="00310554">
              <w:t>te fonde og virksomheder fina</w:t>
            </w:r>
            <w:r w:rsidRPr="00310554">
              <w:t>n</w:t>
            </w:r>
            <w:r w:rsidRPr="00310554">
              <w:t xml:space="preserve">sierer ca. 30 pct. af </w:t>
            </w:r>
            <w:r>
              <w:t>den offentlige forskning på uni</w:t>
            </w:r>
            <w:r w:rsidRPr="00310554">
              <w:t>versiteterne, og ca. 26 pct. af den offentlige l</w:t>
            </w:r>
            <w:r w:rsidRPr="00310554">
              <w:t>æ</w:t>
            </w:r>
            <w:r w:rsidRPr="00310554">
              <w:t>gemiddelforskning, som foregår på hopitalerne. Samlet set inv</w:t>
            </w:r>
            <w:r w:rsidRPr="00310554">
              <w:t>e</w:t>
            </w:r>
            <w:r w:rsidRPr="00310554">
              <w:t>sterede private fonde og organ</w:t>
            </w:r>
            <w:r w:rsidRPr="00310554">
              <w:t>i</w:t>
            </w:r>
            <w:r w:rsidRPr="00310554">
              <w:t xml:space="preserve">sationer godt 1,4 mia. kr. på de danske universiteter i 2013. </w:t>
            </w:r>
          </w:p>
          <w:p w:rsidR="00310554" w:rsidRPr="00310554" w:rsidRDefault="00310554" w:rsidP="00310554">
            <w:pPr>
              <w:pStyle w:val="Tabel-BrdtekstmedafstandptekstGaramond"/>
            </w:pPr>
          </w:p>
          <w:p w:rsidR="00310554" w:rsidRDefault="00310554" w:rsidP="00310554">
            <w:pPr>
              <w:pStyle w:val="Tabel-BrdtekstmedafstandptekstGaramond"/>
            </w:pPr>
            <w:r w:rsidRPr="00310554">
              <w:t>Det fremgår af bemærkningerne til lovforslaget, at forslaget p</w:t>
            </w:r>
            <w:r w:rsidRPr="00310554">
              <w:t>o</w:t>
            </w:r>
            <w:r w:rsidRPr="00310554">
              <w:t>tentielt kan få den økonomiske kon</w:t>
            </w:r>
            <w:r>
              <w:t>se</w:t>
            </w:r>
            <w:r w:rsidRPr="00310554">
              <w:t>kvens, at fondenes invest</w:t>
            </w:r>
            <w:r w:rsidRPr="00310554">
              <w:t>e</w:t>
            </w:r>
            <w:r w:rsidRPr="00310554">
              <w:t>ringer i fx offentlig forskning bl</w:t>
            </w:r>
            <w:r w:rsidRPr="00310554">
              <w:t>i</w:t>
            </w:r>
            <w:r w:rsidRPr="00310554">
              <w:t>ver reduceret, men at det ikke umiddelbart er muligt at sætte tal på, hvor stor en eventuel redu</w:t>
            </w:r>
            <w:r w:rsidRPr="00310554">
              <w:t>k</w:t>
            </w:r>
            <w:r w:rsidRPr="00310554">
              <w:t xml:space="preserve">tion bliver. </w:t>
            </w:r>
          </w:p>
          <w:p w:rsidR="00310554" w:rsidRPr="00310554" w:rsidRDefault="00310554" w:rsidP="00310554">
            <w:pPr>
              <w:pStyle w:val="Tabel-BrdtekstmedafstandptekstGaramond"/>
            </w:pPr>
          </w:p>
          <w:p w:rsidR="00310554" w:rsidRDefault="00310554" w:rsidP="00310554">
            <w:pPr>
              <w:pStyle w:val="Tabel-BrdtekstmedafstandptekstGaramond"/>
            </w:pPr>
            <w:r w:rsidRPr="00310554">
              <w:t>Lif finder det vanskeligt at forstå, hvorfor det ikke skulle være m</w:t>
            </w:r>
            <w:r w:rsidRPr="00310554">
              <w:t>u</w:t>
            </w:r>
            <w:r w:rsidRPr="00310554">
              <w:t>ligt at</w:t>
            </w:r>
            <w:r>
              <w:t xml:space="preserve"> få en bedre belysning af konse</w:t>
            </w:r>
            <w:r w:rsidRPr="00310554">
              <w:t>kvenserne ved lovforslaget. Forslaget bør ikke behandles og vedtages i en hast, der ikke gi</w:t>
            </w:r>
            <w:r>
              <w:t>ver mulig</w:t>
            </w:r>
            <w:r w:rsidRPr="00310554">
              <w:t>hed for en ordentlig bely</w:t>
            </w:r>
            <w:r w:rsidRPr="00310554">
              <w:t>s</w:t>
            </w:r>
            <w:r w:rsidRPr="00310554">
              <w:t>ning af både forudsætninger og konsekvenser. Lif vil derfor o</w:t>
            </w:r>
            <w:r w:rsidRPr="00310554">
              <w:t>p</w:t>
            </w:r>
            <w:r w:rsidRPr="00310554">
              <w:t>fordre til en nærmere undersøge</w:t>
            </w:r>
            <w:r w:rsidRPr="00310554">
              <w:t>l</w:t>
            </w:r>
            <w:r w:rsidRPr="00310554">
              <w:lastRenderedPageBreak/>
              <w:t>se af de beregninger, der ligger til grund for lovforslaget, herunder ikke mindst en nærmere bely</w:t>
            </w:r>
            <w:r w:rsidRPr="00310554">
              <w:t>s</w:t>
            </w:r>
            <w:r w:rsidRPr="00310554">
              <w:t xml:space="preserve">ning af konsekvenserne for de private fondes medfinansiering af offentlig forskning. </w:t>
            </w:r>
          </w:p>
          <w:p w:rsidR="00310554" w:rsidRPr="00310554" w:rsidRDefault="00310554" w:rsidP="00310554">
            <w:pPr>
              <w:pStyle w:val="Tabel-BrdtekstmedafstandptekstGaramond"/>
            </w:pPr>
          </w:p>
          <w:p w:rsidR="00C513CA" w:rsidRPr="00B5346F" w:rsidRDefault="00310554" w:rsidP="006D6049">
            <w:pPr>
              <w:pStyle w:val="Tabel-BrdtekstmedafstandptekstGaramond"/>
            </w:pPr>
            <w:r w:rsidRPr="00310554">
              <w:t xml:space="preserve">For Lif er der ingen tvivl om, at en reduktion i fondenes støtte til offentlig forskning i sygdom og </w:t>
            </w:r>
            <w:r>
              <w:t>sund</w:t>
            </w:r>
            <w:r w:rsidRPr="00310554">
              <w:t>hed vil kunne betyde et a</w:t>
            </w:r>
            <w:r w:rsidRPr="00310554">
              <w:t>l</w:t>
            </w:r>
            <w:r w:rsidRPr="00310554">
              <w:t>vorligt tilbageslag for dansk forskning. Et tilbageslag, der kommer oven i de besparelser på forskning og uddannelse, som følger af aftalerne om Finansl</w:t>
            </w:r>
            <w:r w:rsidRPr="00310554">
              <w:t>o</w:t>
            </w:r>
            <w:r w:rsidRPr="00310554">
              <w:t xml:space="preserve">ven for 2016. Lif </w:t>
            </w:r>
            <w:r w:rsidR="006D6049">
              <w:t>advarer</w:t>
            </w:r>
            <w:r w:rsidR="006D6049" w:rsidRPr="00310554">
              <w:t xml:space="preserve"> </w:t>
            </w:r>
            <w:r w:rsidRPr="00310554">
              <w:t>således generelt mod yderligere forringe</w:t>
            </w:r>
            <w:r w:rsidRPr="00310554">
              <w:t>l</w:t>
            </w:r>
            <w:r w:rsidRPr="00310554">
              <w:t>ser af vilkårene for den offentlige forskning</w:t>
            </w:r>
            <w:r w:rsidR="00D83AF4">
              <w:t xml:space="preserve">. </w:t>
            </w:r>
          </w:p>
        </w:tc>
        <w:tc>
          <w:tcPr>
            <w:tcW w:w="209" w:type="dxa"/>
            <w:shd w:val="clear" w:color="auto" w:fill="FFFFFF" w:themeFill="background1"/>
          </w:tcPr>
          <w:p w:rsidR="00C513CA" w:rsidRPr="00B5346F" w:rsidRDefault="00C513CA" w:rsidP="00122C71"/>
        </w:tc>
        <w:tc>
          <w:tcPr>
            <w:tcW w:w="3259" w:type="dxa"/>
            <w:tcBorders>
              <w:top w:val="single" w:sz="4" w:space="0" w:color="14143C" w:themeColor="accent1"/>
              <w:bottom w:val="single" w:sz="4" w:space="0" w:color="14143C" w:themeColor="accent1"/>
            </w:tcBorders>
            <w:shd w:val="clear" w:color="auto" w:fill="D2CED8"/>
          </w:tcPr>
          <w:p w:rsidR="00C513CA" w:rsidRPr="00B5346F" w:rsidRDefault="00E30195" w:rsidP="00122C71">
            <w:pPr>
              <w:pStyle w:val="Tabel-BrdtekstmedafstandptekstGaramond"/>
            </w:pPr>
            <w:r>
              <w:t xml:space="preserve">Der henvises til kommentarerne til Akademikerne og </w:t>
            </w:r>
            <w:r w:rsidRPr="0012378C">
              <w:t>Danmarks Forsknings- og Innovationspol</w:t>
            </w:r>
            <w:r w:rsidRPr="0012378C">
              <w:t>i</w:t>
            </w:r>
            <w:r>
              <w:t>tiske Råd.</w:t>
            </w:r>
          </w:p>
        </w:tc>
      </w:tr>
      <w:tr w:rsidR="007A0F74" w:rsidRPr="00B5346F" w:rsidTr="00C87589">
        <w:tc>
          <w:tcPr>
            <w:tcW w:w="2653" w:type="dxa"/>
            <w:tcBorders>
              <w:top w:val="single" w:sz="4" w:space="0" w:color="D1C5C3" w:themeColor="accent3"/>
              <w:bottom w:val="single" w:sz="4" w:space="0" w:color="D1C5C3" w:themeColor="accent3"/>
            </w:tcBorders>
            <w:shd w:val="clear" w:color="auto" w:fill="FBF9F9"/>
          </w:tcPr>
          <w:p w:rsidR="007A0F74" w:rsidRDefault="007A0F74" w:rsidP="00224650">
            <w:pPr>
              <w:pStyle w:val="Tabel-BrdtekstmedafstandptekstGaramond"/>
              <w:rPr>
                <w:i/>
              </w:rPr>
            </w:pPr>
            <w:r>
              <w:rPr>
                <w:i/>
              </w:rPr>
              <w:lastRenderedPageBreak/>
              <w:t>Novo Nordisk Fonden, Vi</w:t>
            </w:r>
            <w:r>
              <w:rPr>
                <w:i/>
              </w:rPr>
              <w:t>l</w:t>
            </w:r>
            <w:r>
              <w:rPr>
                <w:i/>
              </w:rPr>
              <w:t>lum Fonden og Lundbeckfo</w:t>
            </w:r>
            <w:r>
              <w:rPr>
                <w:i/>
              </w:rPr>
              <w:t>n</w:t>
            </w:r>
            <w:r>
              <w:rPr>
                <w:i/>
              </w:rPr>
              <w:t>den</w:t>
            </w:r>
          </w:p>
        </w:tc>
        <w:tc>
          <w:tcPr>
            <w:tcW w:w="194" w:type="dxa"/>
            <w:shd w:val="clear" w:color="auto" w:fill="FFFFFF" w:themeFill="background1"/>
          </w:tcPr>
          <w:p w:rsidR="007A0F74" w:rsidRPr="00B5346F" w:rsidRDefault="007A0F74" w:rsidP="00122C71"/>
        </w:tc>
        <w:tc>
          <w:tcPr>
            <w:tcW w:w="3324" w:type="dxa"/>
            <w:tcBorders>
              <w:top w:val="single" w:sz="4" w:space="0" w:color="D1C5C3" w:themeColor="accent3"/>
              <w:bottom w:val="single" w:sz="4" w:space="0" w:color="D1C5C3" w:themeColor="accent3"/>
            </w:tcBorders>
            <w:shd w:val="clear" w:color="auto" w:fill="FBF9F9"/>
          </w:tcPr>
          <w:p w:rsidR="007A0F74" w:rsidRDefault="007A0F74" w:rsidP="007A0F74">
            <w:pPr>
              <w:pStyle w:val="Tabel-BrdtekstmedafstandptekstGaramond"/>
            </w:pPr>
            <w:r>
              <w:t>I en fælles høringsskrivelse, der er indsendt af de tre fonde på egne og 26 andre fondes vegne,</w:t>
            </w:r>
            <w:r w:rsidR="00DF0F9D">
              <w:t xml:space="preserve"> udtrykkes </w:t>
            </w:r>
            <w:r w:rsidRPr="007A0F74">
              <w:t>stor bekymring</w:t>
            </w:r>
            <w:r>
              <w:t xml:space="preserve"> over</w:t>
            </w:r>
            <w:r w:rsidRPr="007A0F74">
              <w:t>, at lovforslaget vil føre til en væsen</w:t>
            </w:r>
            <w:r w:rsidRPr="007A0F74">
              <w:t>t</w:t>
            </w:r>
            <w:r w:rsidRPr="007A0F74">
              <w:t>lig forringelse af fondenes muli</w:t>
            </w:r>
            <w:r w:rsidRPr="007A0F74">
              <w:t>g</w:t>
            </w:r>
            <w:r w:rsidRPr="007A0F74">
              <w:t>heder for at støtte aktiviteter i</w:t>
            </w:r>
            <w:r w:rsidRPr="007A0F74">
              <w:t>n</w:t>
            </w:r>
            <w:r w:rsidRPr="007A0F74">
              <w:t>den for forskning, uddannelse, kultur, byggeri, kunst, miljø og klima, sundhed og sociale formål. Samtidig bliver det markant va</w:t>
            </w:r>
            <w:r w:rsidRPr="007A0F74">
              <w:t>n</w:t>
            </w:r>
            <w:r w:rsidRPr="007A0F74">
              <w:t>skeligere for fondene at organis</w:t>
            </w:r>
            <w:r w:rsidRPr="007A0F74">
              <w:t>e</w:t>
            </w:r>
            <w:r w:rsidRPr="007A0F74">
              <w:t>re deres aktiviteter på den forre</w:t>
            </w:r>
            <w:r w:rsidRPr="007A0F74">
              <w:t>t</w:t>
            </w:r>
            <w:r w:rsidRPr="007A0F74">
              <w:t>ningsmæssigt mest hensigtsmæ</w:t>
            </w:r>
            <w:r w:rsidRPr="007A0F74">
              <w:t>s</w:t>
            </w:r>
            <w:r w:rsidRPr="007A0F74">
              <w:t>sige måde.</w:t>
            </w:r>
          </w:p>
          <w:p w:rsidR="007A0F74" w:rsidRDefault="007A0F74" w:rsidP="00310554">
            <w:pPr>
              <w:pStyle w:val="Tabel-BrdtekstmedafstandptekstGaramond"/>
            </w:pPr>
          </w:p>
          <w:p w:rsidR="00732B4F" w:rsidRDefault="00732B4F" w:rsidP="00732B4F">
            <w:pPr>
              <w:pStyle w:val="Tabel-BrdtekstmedafstandptekstGaramond"/>
            </w:pPr>
            <w:r>
              <w:t xml:space="preserve">Der peges på, at </w:t>
            </w:r>
            <w:r w:rsidRPr="00732B4F">
              <w:t xml:space="preserve">Danmark </w:t>
            </w:r>
            <w:r>
              <w:t xml:space="preserve">har </w:t>
            </w:r>
            <w:r w:rsidRPr="00732B4F">
              <w:t>en stærk fondsmodel, som det vil være uhensigtsmæssigt at svække. Modellen hviler på velfungerende og indarbejdede lovgivningsmæ</w:t>
            </w:r>
            <w:r w:rsidRPr="00732B4F">
              <w:t>s</w:t>
            </w:r>
            <w:r w:rsidRPr="00732B4F">
              <w:t>sige rammer, som sikrer, at la</w:t>
            </w:r>
            <w:r w:rsidRPr="00732B4F">
              <w:t>n</w:t>
            </w:r>
            <w:r w:rsidRPr="00732B4F">
              <w:lastRenderedPageBreak/>
              <w:t>dets mange fonde kan opfylde deres erhvervs- og uddeling</w:t>
            </w:r>
            <w:r w:rsidRPr="00732B4F">
              <w:t>s</w:t>
            </w:r>
            <w:r w:rsidRPr="00732B4F">
              <w:t xml:space="preserve">mæssige formål, og som gør det muligt for fondene at uddele midler til gavn for samfundet i et fortsat stigende omfang. </w:t>
            </w:r>
          </w:p>
          <w:p w:rsidR="004D5F31" w:rsidRPr="00732B4F" w:rsidRDefault="004D5F31" w:rsidP="00732B4F">
            <w:pPr>
              <w:pStyle w:val="Tabel-BrdtekstmedafstandptekstGaramond"/>
            </w:pPr>
          </w:p>
          <w:p w:rsidR="007A0F74" w:rsidRDefault="00732B4F" w:rsidP="00732B4F">
            <w:pPr>
              <w:pStyle w:val="Tabel-BrdtekstmedafstandptekstGaramond"/>
            </w:pPr>
            <w:r w:rsidRPr="00732B4F">
              <w:t>Uddelingerne finansierer blandt andet en bred vifte af aktiviteter inden for forskning, uddannelse, kultur, byggeri, kunst, miljø og klima, sundhed og sociale formål. Fondene har i perioden 2007</w:t>
            </w:r>
            <w:r>
              <w:t>-12</w:t>
            </w:r>
            <w:r w:rsidRPr="00732B4F">
              <w:t xml:space="preserve"> uddelt </w:t>
            </w:r>
            <w:r>
              <w:t xml:space="preserve">mere end </w:t>
            </w:r>
            <w:r w:rsidRPr="00732B4F">
              <w:t xml:space="preserve">20 mia. </w:t>
            </w:r>
            <w:r>
              <w:t xml:space="preserve">kr. </w:t>
            </w:r>
            <w:r w:rsidRPr="00732B4F">
              <w:t>til almennyttige formål.</w:t>
            </w:r>
          </w:p>
          <w:p w:rsidR="00D10010" w:rsidRPr="00D10010" w:rsidRDefault="00D10010" w:rsidP="00D10010">
            <w:pPr>
              <w:pStyle w:val="Tabel-BrdtekstmedafstandptekstGaramond"/>
            </w:pPr>
          </w:p>
          <w:p w:rsidR="00D10010" w:rsidRDefault="00860578" w:rsidP="00D10010">
            <w:pPr>
              <w:pStyle w:val="Tabel-BrdtekstmedafstandptekstGaramond"/>
            </w:pPr>
            <w:r>
              <w:t>Fondene peger på, at l</w:t>
            </w:r>
            <w:r w:rsidR="00D10010">
              <w:t>ovforslaget</w:t>
            </w:r>
            <w:r w:rsidR="00D10010" w:rsidRPr="00D10010">
              <w:t xml:space="preserve"> vil have langt mere vidtrækkende økonomiske konsekvenser end </w:t>
            </w:r>
            <w:r w:rsidR="00C1635C">
              <w:t>det</w:t>
            </w:r>
            <w:r w:rsidR="00D10010" w:rsidRPr="00D10010">
              <w:t xml:space="preserve"> umid</w:t>
            </w:r>
            <w:r w:rsidR="00C1635C">
              <w:t>delbare</w:t>
            </w:r>
            <w:r w:rsidR="00D10010" w:rsidRPr="00D10010">
              <w:t xml:space="preserve"> merprovenu på 250 mio. </w:t>
            </w:r>
            <w:r w:rsidR="00C1635C">
              <w:t xml:space="preserve">kr. </w:t>
            </w:r>
            <w:r w:rsidR="00D10010" w:rsidRPr="00D10010">
              <w:t>om året</w:t>
            </w:r>
            <w:r w:rsidR="00C1635C">
              <w:t>, som anf</w:t>
            </w:r>
            <w:r w:rsidR="00C1635C">
              <w:t>ø</w:t>
            </w:r>
            <w:r w:rsidR="00C1635C">
              <w:t>res i forslaget</w:t>
            </w:r>
            <w:r w:rsidR="00D10010" w:rsidRPr="00D10010">
              <w:t xml:space="preserve">. </w:t>
            </w:r>
            <w:r w:rsidR="00DA63DC">
              <w:t>Fondene har sål</w:t>
            </w:r>
            <w:r w:rsidR="00DA63DC">
              <w:t>e</w:t>
            </w:r>
            <w:r w:rsidR="00DA63DC">
              <w:t>des t</w:t>
            </w:r>
            <w:r w:rsidR="00C1635C">
              <w:t xml:space="preserve">il brug for høringssvaret </w:t>
            </w:r>
            <w:r w:rsidR="00D10010" w:rsidRPr="00D10010">
              <w:t>in</w:t>
            </w:r>
            <w:r w:rsidR="00D10010" w:rsidRPr="00D10010">
              <w:t>d</w:t>
            </w:r>
            <w:r w:rsidR="00D10010" w:rsidRPr="00D10010">
              <w:t xml:space="preserve">samlet informationer </w:t>
            </w:r>
            <w:r w:rsidR="00C1635C">
              <w:t>om</w:t>
            </w:r>
            <w:r w:rsidR="00D10010" w:rsidRPr="00D10010">
              <w:t xml:space="preserve"> en ræ</w:t>
            </w:r>
            <w:r w:rsidR="00D10010" w:rsidRPr="00D10010">
              <w:t>k</w:t>
            </w:r>
            <w:r w:rsidR="00D10010" w:rsidRPr="00D10010">
              <w:t>ke store almennyttige og e</w:t>
            </w:r>
            <w:r w:rsidR="00D10010" w:rsidRPr="00D10010">
              <w:t>r</w:t>
            </w:r>
            <w:r w:rsidR="00D10010" w:rsidRPr="00D10010">
              <w:t>hvervsdrivende fonde</w:t>
            </w:r>
            <w:r w:rsidR="00C1635C">
              <w:t xml:space="preserve">s </w:t>
            </w:r>
            <w:r w:rsidR="00D10010" w:rsidRPr="00D10010">
              <w:t>skattefo</w:t>
            </w:r>
            <w:r w:rsidR="00D10010" w:rsidRPr="00D10010">
              <w:t>r</w:t>
            </w:r>
            <w:r w:rsidR="00D10010" w:rsidRPr="00D10010">
              <w:t>hold, der tyder på, at det umi</w:t>
            </w:r>
            <w:r w:rsidR="00D10010" w:rsidRPr="00D10010">
              <w:t>d</w:t>
            </w:r>
            <w:r w:rsidR="00D10010" w:rsidRPr="00D10010">
              <w:t>delbare merprovenu vil være 3-4 gange stør</w:t>
            </w:r>
            <w:r w:rsidR="00C1635C">
              <w:t>re.</w:t>
            </w:r>
            <w:r w:rsidR="00D10010" w:rsidRPr="00D10010">
              <w:t xml:space="preserve"> </w:t>
            </w:r>
            <w:r>
              <w:t>Fondene anfører, at der</w:t>
            </w:r>
            <w:r w:rsidR="00D10010" w:rsidRPr="00D10010">
              <w:t xml:space="preserve"> således ikke </w:t>
            </w:r>
            <w:r>
              <w:t xml:space="preserve">er </w:t>
            </w:r>
            <w:r w:rsidR="00D10010" w:rsidRPr="00D10010">
              <w:t>nogen tvivl om, at provenuberegningerne i lovforslaget bygger på et forkert grundlag, med den konsekvens, at indgrebet</w:t>
            </w:r>
            <w:r w:rsidR="00C1635C">
              <w:t xml:space="preserve"> </w:t>
            </w:r>
            <w:r w:rsidR="00C1635C" w:rsidRPr="00C1635C">
              <w:t xml:space="preserve">rammer hårdere end tilsigtet. </w:t>
            </w:r>
          </w:p>
          <w:p w:rsidR="00C1635C" w:rsidRDefault="00C1635C" w:rsidP="00D10010">
            <w:pPr>
              <w:pStyle w:val="Tabel-BrdtekstmedafstandptekstGaramond"/>
            </w:pPr>
          </w:p>
          <w:p w:rsidR="00C1635C" w:rsidRDefault="00C1635C" w:rsidP="00D10010">
            <w:pPr>
              <w:pStyle w:val="Tabel-BrdtekstmedafstandptekstGaramond"/>
              <w:rPr>
                <w:szCs w:val="22"/>
              </w:rPr>
            </w:pPr>
            <w:r>
              <w:rPr>
                <w:szCs w:val="22"/>
              </w:rPr>
              <w:t>Da det først og fremmest er fo</w:t>
            </w:r>
            <w:r>
              <w:rPr>
                <w:szCs w:val="22"/>
              </w:rPr>
              <w:t>n</w:t>
            </w:r>
            <w:r>
              <w:rPr>
                <w:szCs w:val="22"/>
              </w:rPr>
              <w:t>de med almennyttige formål, b</w:t>
            </w:r>
            <w:r>
              <w:rPr>
                <w:szCs w:val="22"/>
              </w:rPr>
              <w:t>å</w:t>
            </w:r>
            <w:r>
              <w:rPr>
                <w:szCs w:val="22"/>
              </w:rPr>
              <w:t>de erhvervsdrivende fonde med almennyttige formål og fonde med udelukkende almennyttige formål, der bliver berørt</w:t>
            </w:r>
            <w:r w:rsidR="00DA63DC">
              <w:rPr>
                <w:szCs w:val="22"/>
              </w:rPr>
              <w:t>,</w:t>
            </w:r>
            <w:r>
              <w:rPr>
                <w:szCs w:val="22"/>
              </w:rPr>
              <w:t xml:space="preserve"> må </w:t>
            </w:r>
            <w:r w:rsidR="00DA63DC">
              <w:rPr>
                <w:szCs w:val="22"/>
              </w:rPr>
              <w:t xml:space="preserve">det </w:t>
            </w:r>
            <w:r>
              <w:rPr>
                <w:szCs w:val="22"/>
              </w:rPr>
              <w:t xml:space="preserve">være i samfundets interesse at sikre sig, at en så vidtrækkende </w:t>
            </w:r>
            <w:r>
              <w:rPr>
                <w:szCs w:val="22"/>
              </w:rPr>
              <w:lastRenderedPageBreak/>
              <w:t>ændring af fondenes rammeb</w:t>
            </w:r>
            <w:r>
              <w:rPr>
                <w:szCs w:val="22"/>
              </w:rPr>
              <w:t>e</w:t>
            </w:r>
            <w:r>
              <w:rPr>
                <w:szCs w:val="22"/>
              </w:rPr>
              <w:t>tingelser, som der lægges op, ikke bør ske i form af en forhastet proces uden inddragelse af fo</w:t>
            </w:r>
            <w:r>
              <w:rPr>
                <w:szCs w:val="22"/>
              </w:rPr>
              <w:t>n</w:t>
            </w:r>
            <w:r>
              <w:rPr>
                <w:szCs w:val="22"/>
              </w:rPr>
              <w:t>dene, på et ufuldstændigt grun</w:t>
            </w:r>
            <w:r>
              <w:rPr>
                <w:szCs w:val="22"/>
              </w:rPr>
              <w:t>d</w:t>
            </w:r>
            <w:r>
              <w:rPr>
                <w:szCs w:val="22"/>
              </w:rPr>
              <w:t>lag for provenukonsekvenser og uden en dybdegående analyse af lovforslagets samfundsmæssige konsekvenser.</w:t>
            </w:r>
          </w:p>
          <w:p w:rsidR="00DA63DC" w:rsidRDefault="00DA63DC" w:rsidP="00D10010">
            <w:pPr>
              <w:pStyle w:val="Tabel-BrdtekstmedafstandptekstGaramond"/>
              <w:rPr>
                <w:szCs w:val="22"/>
              </w:rPr>
            </w:pPr>
          </w:p>
          <w:p w:rsidR="00DA63DC" w:rsidRPr="00DA63DC" w:rsidRDefault="00DA63DC" w:rsidP="00D10010">
            <w:pPr>
              <w:pStyle w:val="Tabel-BrdtekstmedafstandptekstGaramond"/>
              <w:rPr>
                <w:b/>
              </w:rPr>
            </w:pPr>
            <w:r w:rsidRPr="00DA63DC">
              <w:rPr>
                <w:b/>
                <w:szCs w:val="22"/>
              </w:rPr>
              <w:t>Konsolideringsfradraget</w:t>
            </w:r>
          </w:p>
          <w:p w:rsidR="006E17FD" w:rsidRDefault="006E17FD" w:rsidP="006E17FD">
            <w:pPr>
              <w:pStyle w:val="Tabel-BrdtekstmedafstandptekstGaramond"/>
            </w:pPr>
            <w:r w:rsidRPr="006E17FD">
              <w:t>Konsolideringsfradraget blev o</w:t>
            </w:r>
            <w:r w:rsidRPr="006E17FD">
              <w:t>p</w:t>
            </w:r>
            <w:r w:rsidRPr="006E17FD">
              <w:t>rindelig indført for at sikre, at fondene ikke udhuler deres grundkapital, når de støtter a</w:t>
            </w:r>
            <w:r w:rsidRPr="006E17FD">
              <w:t>l</w:t>
            </w:r>
            <w:r w:rsidRPr="006E17FD">
              <w:t>mennyttige formål. Samtidig skulle konsolideringsfradraget ti</w:t>
            </w:r>
            <w:r w:rsidRPr="006E17FD">
              <w:t>l</w:t>
            </w:r>
            <w:r w:rsidRPr="006E17FD">
              <w:t xml:space="preserve">skynde til øgede uddelinger. Det er i høj grad lykkedes. </w:t>
            </w:r>
          </w:p>
          <w:p w:rsidR="006E17FD" w:rsidRPr="006E17FD" w:rsidRDefault="006E17FD" w:rsidP="006E17FD">
            <w:pPr>
              <w:pStyle w:val="Tabel-BrdtekstmedafstandptekstGaramond"/>
            </w:pPr>
          </w:p>
          <w:p w:rsidR="006E17FD" w:rsidRDefault="00860578" w:rsidP="006E17FD">
            <w:pPr>
              <w:pStyle w:val="Tabel-BrdtekstmedafstandptekstGaramond"/>
            </w:pPr>
            <w:r>
              <w:t>Fondene anfører, at</w:t>
            </w:r>
            <w:r w:rsidRPr="006E17FD">
              <w:t xml:space="preserve"> </w:t>
            </w:r>
            <w:r w:rsidR="006E17FD" w:rsidRPr="006E17FD">
              <w:t>den umi</w:t>
            </w:r>
            <w:r w:rsidR="006E17FD" w:rsidRPr="006E17FD">
              <w:t>d</w:t>
            </w:r>
            <w:r w:rsidR="006E17FD" w:rsidRPr="006E17FD">
              <w:t>delbare og direkte konsekvens af en afskaffelse af konsolidering</w:t>
            </w:r>
            <w:r w:rsidR="006E17FD" w:rsidRPr="006E17FD">
              <w:t>s</w:t>
            </w:r>
            <w:r w:rsidR="006E17FD" w:rsidRPr="006E17FD">
              <w:t xml:space="preserve">fradraget er, at midler, der ellers ville blive uddelt til almennyttige formål, nu i stedet betales i skat. </w:t>
            </w:r>
          </w:p>
          <w:p w:rsidR="006E17FD" w:rsidRPr="006E17FD" w:rsidRDefault="006E17FD" w:rsidP="006E17FD">
            <w:pPr>
              <w:pStyle w:val="Tabel-BrdtekstmedafstandptekstGaramond"/>
            </w:pPr>
          </w:p>
          <w:p w:rsidR="006E17FD" w:rsidRDefault="006E17FD" w:rsidP="006E17FD">
            <w:pPr>
              <w:pStyle w:val="Tabel-BrdtekstmedafstandptekstGaramond"/>
            </w:pPr>
            <w:r w:rsidRPr="006E17FD">
              <w:t>Samtidig vil det på længere sigt blive vanskeligere for almennytt</w:t>
            </w:r>
            <w:r w:rsidRPr="006E17FD">
              <w:t>i</w:t>
            </w:r>
            <w:r w:rsidRPr="006E17FD">
              <w:t>ge fonde at opfylde fondsform</w:t>
            </w:r>
            <w:r w:rsidRPr="006E17FD">
              <w:t>å</w:t>
            </w:r>
            <w:r w:rsidRPr="006E17FD">
              <w:t>let om at uddele til almennyttige formål og samtidig kunne sikre fondens overlevelse og formue ved at foretage en vis konsolid</w:t>
            </w:r>
            <w:r w:rsidRPr="006E17FD">
              <w:t>e</w:t>
            </w:r>
            <w:r w:rsidRPr="006E17FD">
              <w:t>ring. Dette vil især ramme de små og mellemstore fonde, der ikke har en betydelig erhvervsaktivitet. Samtidigt vil det medføre en fo</w:t>
            </w:r>
            <w:r w:rsidRPr="006E17FD">
              <w:t>r</w:t>
            </w:r>
            <w:r w:rsidRPr="006E17FD">
              <w:t>skelsbehandling af rene alme</w:t>
            </w:r>
            <w:r w:rsidRPr="006E17FD">
              <w:t>n</w:t>
            </w:r>
            <w:r w:rsidRPr="006E17FD">
              <w:t>nyttige fonde i forhold til helt ti</w:t>
            </w:r>
            <w:r w:rsidRPr="006E17FD">
              <w:t>l</w:t>
            </w:r>
            <w:r w:rsidRPr="006E17FD">
              <w:t>svarende skattefrie almennyttige institutioner organiseret i fo</w:t>
            </w:r>
            <w:r w:rsidRPr="006E17FD">
              <w:t>r</w:t>
            </w:r>
            <w:r w:rsidRPr="006E17FD">
              <w:t>eningsform. Der bør sikres en l</w:t>
            </w:r>
            <w:r w:rsidRPr="006E17FD">
              <w:t>i</w:t>
            </w:r>
            <w:r w:rsidRPr="006E17FD">
              <w:t>gestilling for de rene almennytt</w:t>
            </w:r>
            <w:r w:rsidRPr="006E17FD">
              <w:t>i</w:t>
            </w:r>
            <w:r w:rsidRPr="006E17FD">
              <w:lastRenderedPageBreak/>
              <w:t xml:space="preserve">ge fonde. </w:t>
            </w:r>
          </w:p>
          <w:p w:rsidR="006E17FD" w:rsidRPr="006E17FD" w:rsidRDefault="006E17FD" w:rsidP="006E17FD">
            <w:pPr>
              <w:pStyle w:val="Tabel-BrdtekstmedafstandptekstGaramond"/>
            </w:pPr>
          </w:p>
          <w:p w:rsidR="007A0F74" w:rsidRDefault="006E17FD" w:rsidP="006E17FD">
            <w:pPr>
              <w:pStyle w:val="Tabel-BrdtekstmedafstandptekstGaramond"/>
            </w:pPr>
            <w:r w:rsidRPr="006E17FD">
              <w:t>For de større erhvervsdrivende fonde, der både har almennyttige formål og betydelig erhvervsakt</w:t>
            </w:r>
            <w:r w:rsidRPr="006E17FD">
              <w:t>i</w:t>
            </w:r>
            <w:r w:rsidRPr="006E17FD">
              <w:t>vitet, vil fjernelsen af konsolid</w:t>
            </w:r>
            <w:r w:rsidRPr="006E17FD">
              <w:t>e</w:t>
            </w:r>
            <w:r w:rsidRPr="006E17FD">
              <w:t>ringsfradraget indebære, at udd</w:t>
            </w:r>
            <w:r w:rsidRPr="006E17FD">
              <w:t>e</w:t>
            </w:r>
            <w:r w:rsidRPr="006E17FD">
              <w:t xml:space="preserve">lingsstrategien skal revurderes </w:t>
            </w:r>
            <w:r>
              <w:t>–</w:t>
            </w:r>
            <w:r w:rsidRPr="006E17FD">
              <w:t xml:space="preserve"> med det sandsynlige resultat, at uddelingsniveauet på sigt reduc</w:t>
            </w:r>
            <w:r w:rsidRPr="006E17FD">
              <w:t>e</w:t>
            </w:r>
            <w:r w:rsidRPr="006E17FD">
              <w:t>res betydeligt i forhold til, hvad det ellers ville have været.</w:t>
            </w:r>
          </w:p>
          <w:p w:rsidR="00810C1E" w:rsidRDefault="00810C1E" w:rsidP="006E17FD">
            <w:pPr>
              <w:pStyle w:val="Tabel-BrdtekstmedafstandptekstGaramond"/>
            </w:pPr>
          </w:p>
          <w:p w:rsidR="00810C1E" w:rsidRPr="00810C1E" w:rsidRDefault="00810C1E" w:rsidP="006E17FD">
            <w:pPr>
              <w:pStyle w:val="Tabel-BrdtekstmedafstandptekstGaramond"/>
              <w:rPr>
                <w:b/>
                <w:szCs w:val="22"/>
              </w:rPr>
            </w:pPr>
            <w:r w:rsidRPr="00810C1E">
              <w:rPr>
                <w:b/>
                <w:szCs w:val="22"/>
              </w:rPr>
              <w:t xml:space="preserve">Overførselsreglen </w:t>
            </w:r>
          </w:p>
          <w:p w:rsidR="00810C1E" w:rsidRDefault="00860578" w:rsidP="00810C1E">
            <w:pPr>
              <w:pStyle w:val="Tabel-BrdtekstmedafstandptekstGaramond"/>
            </w:pPr>
            <w:r>
              <w:t>Fondene anfører, at o</w:t>
            </w:r>
            <w:r w:rsidRPr="00810C1E">
              <w:t>verførsel</w:t>
            </w:r>
            <w:r w:rsidRPr="00810C1E">
              <w:t>s</w:t>
            </w:r>
            <w:r w:rsidRPr="00810C1E">
              <w:t xml:space="preserve">reglen </w:t>
            </w:r>
            <w:r w:rsidR="00810C1E" w:rsidRPr="00810C1E">
              <w:t>sikrer, at en almennyttig fond kan undgå uhensigtsmæss</w:t>
            </w:r>
            <w:r w:rsidR="00810C1E" w:rsidRPr="00810C1E">
              <w:t>i</w:t>
            </w:r>
            <w:r w:rsidR="00810C1E" w:rsidRPr="00810C1E">
              <w:t xml:space="preserve">ge skattebetalinger som følge af, at fonden har ladet en del af sin aktivitet være ejet af et helejet datterselskab i stedet for direkte af fonden. </w:t>
            </w:r>
          </w:p>
          <w:p w:rsidR="00B90934" w:rsidRPr="00810C1E" w:rsidRDefault="00B90934" w:rsidP="00810C1E">
            <w:pPr>
              <w:pStyle w:val="Tabel-BrdtekstmedafstandptekstGaramond"/>
            </w:pPr>
          </w:p>
          <w:p w:rsidR="00B90934" w:rsidRDefault="00810C1E" w:rsidP="00B90934">
            <w:pPr>
              <w:pStyle w:val="Tabel-BrdtekstmedafstandptekstGaramond"/>
            </w:pPr>
            <w:r w:rsidRPr="00810C1E">
              <w:t>For mange erhvervsdrivende fonde er det en stor fordel, at der kan ske en opdeling af fondens organisation, så man har en a</w:t>
            </w:r>
            <w:r w:rsidRPr="00810C1E">
              <w:t>d</w:t>
            </w:r>
            <w:r w:rsidRPr="00810C1E">
              <w:t>skillelse af de erhvervsorienterede og de uddelingsorienterede akt</w:t>
            </w:r>
            <w:r w:rsidRPr="00810C1E">
              <w:t>i</w:t>
            </w:r>
            <w:r w:rsidRPr="00810C1E">
              <w:t>viteter. Det sikrer en fokusering af kompetencer og ledelse, hvi</w:t>
            </w:r>
            <w:r w:rsidRPr="00810C1E">
              <w:t>l</w:t>
            </w:r>
            <w:r w:rsidRPr="00810C1E">
              <w:t>ket har været med til at unde</w:t>
            </w:r>
            <w:r w:rsidRPr="00810C1E">
              <w:t>r</w:t>
            </w:r>
            <w:r w:rsidRPr="00810C1E">
              <w:t>støtte en professionalisering af begge områder hos fondene i de seneste årtier. Dette er måden langt hovedparten af</w:t>
            </w:r>
            <w:r w:rsidR="00B90934">
              <w:t xml:space="preserve"> </w:t>
            </w:r>
            <w:r w:rsidR="00B90934" w:rsidRPr="00B90934">
              <w:t>de største erhvervsdrivende fonde har o</w:t>
            </w:r>
            <w:r w:rsidR="00B90934" w:rsidRPr="00B90934">
              <w:t>r</w:t>
            </w:r>
            <w:r w:rsidR="00B90934" w:rsidRPr="00B90934">
              <w:t>ganiseret sig på, da den har vist sig at være både bæredygtig og effektiv. Samtidig sikrer denne opdeling, i kombination med overførselsreglen, at fondene får mulighed for skattemæssige fr</w:t>
            </w:r>
            <w:r w:rsidR="00B90934" w:rsidRPr="00B90934">
              <w:t>a</w:t>
            </w:r>
            <w:r w:rsidR="00B90934" w:rsidRPr="00B90934">
              <w:t>drag for uddelinger til almenny</w:t>
            </w:r>
            <w:r w:rsidR="00B90934" w:rsidRPr="00B90934">
              <w:t>t</w:t>
            </w:r>
            <w:r w:rsidR="00B90934" w:rsidRPr="00B90934">
              <w:lastRenderedPageBreak/>
              <w:t>tige formål. Dette har vist sig e</w:t>
            </w:r>
            <w:r w:rsidR="00B90934" w:rsidRPr="00B90934">
              <w:t>f</w:t>
            </w:r>
            <w:r w:rsidR="00B90934" w:rsidRPr="00B90934">
              <w:t xml:space="preserve">fektivt i form af, at fondene på denne måde skattemæssigt kan behandle en uddeling på samme måde som en omkostning. </w:t>
            </w:r>
          </w:p>
          <w:p w:rsidR="00B90934" w:rsidRPr="00B90934" w:rsidRDefault="00B90934" w:rsidP="00B90934">
            <w:pPr>
              <w:pStyle w:val="Tabel-BrdtekstmedafstandptekstGaramond"/>
            </w:pPr>
          </w:p>
          <w:p w:rsidR="007A0F74" w:rsidRDefault="00B90934" w:rsidP="00B90934">
            <w:pPr>
              <w:pStyle w:val="Tabel-BrdtekstmedafstandptekstGaramond"/>
            </w:pPr>
            <w:r w:rsidRPr="00B90934">
              <w:t>Med fjernelsen af overførselsre</w:t>
            </w:r>
            <w:r w:rsidRPr="00B90934">
              <w:t>g</w:t>
            </w:r>
            <w:r w:rsidRPr="00B90934">
              <w:t>len vil de erhvervsdrivende fo</w:t>
            </w:r>
            <w:r w:rsidRPr="00B90934">
              <w:t>n</w:t>
            </w:r>
            <w:r w:rsidRPr="00B90934">
              <w:t>de, der har organiseret sig med fuldt ejede datterselskaber, være nødsaget til at foretage væsentlige ændringer i deres organisation og økonomiske dispositioner for at undgå en ekstra beskatning med henblik på at sikre fortsat udd</w:t>
            </w:r>
            <w:r w:rsidRPr="00B90934">
              <w:t>e</w:t>
            </w:r>
            <w:r w:rsidRPr="00B90934">
              <w:t>ling til almennyttige formål. Mange af disse ændringer vil i øvrigt skulle ske i et forceret tempo i den sidste måned af året 2015, givet lovforslagets ikraf</w:t>
            </w:r>
            <w:r w:rsidRPr="00B90934">
              <w:t>t</w:t>
            </w:r>
            <w:r w:rsidRPr="00B90934">
              <w:t>trædelsesdato den 1. januar 2016.</w:t>
            </w:r>
          </w:p>
          <w:p w:rsidR="007A0F74" w:rsidRDefault="007A0F74" w:rsidP="00310554">
            <w:pPr>
              <w:pStyle w:val="Tabel-BrdtekstmedafstandptekstGaramond"/>
            </w:pPr>
          </w:p>
          <w:p w:rsidR="007A0F74" w:rsidRDefault="006F342F" w:rsidP="00310554">
            <w:pPr>
              <w:pStyle w:val="Tabel-BrdtekstmedafstandptekstGaramond"/>
              <w:rPr>
                <w:b/>
              </w:rPr>
            </w:pPr>
            <w:r>
              <w:rPr>
                <w:b/>
              </w:rPr>
              <w:t>Anvendelse af merprovenuet</w:t>
            </w:r>
          </w:p>
          <w:p w:rsidR="000F5846" w:rsidRDefault="000F5846" w:rsidP="00310554">
            <w:pPr>
              <w:pStyle w:val="Tabel-BrdtekstmedafstandptekstGaramond"/>
              <w:rPr>
                <w:szCs w:val="22"/>
              </w:rPr>
            </w:pPr>
            <w:r>
              <w:rPr>
                <w:szCs w:val="22"/>
              </w:rPr>
              <w:t>Ifølge forslaget skal merproven</w:t>
            </w:r>
            <w:r>
              <w:rPr>
                <w:szCs w:val="22"/>
              </w:rPr>
              <w:t>u</w:t>
            </w:r>
            <w:r>
              <w:rPr>
                <w:szCs w:val="22"/>
              </w:rPr>
              <w:t xml:space="preserve">et </w:t>
            </w:r>
            <w:r w:rsidR="006F342F">
              <w:rPr>
                <w:szCs w:val="22"/>
              </w:rPr>
              <w:t>bl.a.</w:t>
            </w:r>
            <w:r>
              <w:rPr>
                <w:szCs w:val="22"/>
              </w:rPr>
              <w:t xml:space="preserve"> anvendes til </w:t>
            </w:r>
            <w:r w:rsidR="006F342F">
              <w:rPr>
                <w:szCs w:val="22"/>
              </w:rPr>
              <w:t>at</w:t>
            </w:r>
            <w:r>
              <w:rPr>
                <w:szCs w:val="22"/>
              </w:rPr>
              <w:t xml:space="preserve"> finansiere en lempelse af den samlede b</w:t>
            </w:r>
            <w:r>
              <w:rPr>
                <w:szCs w:val="22"/>
              </w:rPr>
              <w:t>e</w:t>
            </w:r>
            <w:r>
              <w:rPr>
                <w:szCs w:val="22"/>
              </w:rPr>
              <w:t>skatning ved generationsskifter, herunder ved stiftelse af nye fo</w:t>
            </w:r>
            <w:r>
              <w:rPr>
                <w:szCs w:val="22"/>
              </w:rPr>
              <w:t>n</w:t>
            </w:r>
            <w:r>
              <w:rPr>
                <w:szCs w:val="22"/>
              </w:rPr>
              <w:t xml:space="preserve">de. </w:t>
            </w:r>
            <w:r w:rsidR="00860578">
              <w:rPr>
                <w:szCs w:val="22"/>
              </w:rPr>
              <w:t>Fondene tilkendegiver, at der</w:t>
            </w:r>
            <w:r>
              <w:rPr>
                <w:szCs w:val="22"/>
              </w:rPr>
              <w:t xml:space="preserve"> </w:t>
            </w:r>
            <w:r w:rsidR="006F342F">
              <w:rPr>
                <w:szCs w:val="22"/>
              </w:rPr>
              <w:t>dog</w:t>
            </w:r>
            <w:r w:rsidR="00860578">
              <w:rPr>
                <w:szCs w:val="22"/>
              </w:rPr>
              <w:t xml:space="preserve"> vil</w:t>
            </w:r>
            <w:r>
              <w:rPr>
                <w:szCs w:val="22"/>
              </w:rPr>
              <w:t xml:space="preserve"> være yderst begrænsede ekstraudgifter ved denne ordning i 2016, </w:t>
            </w:r>
            <w:r w:rsidR="006F342F">
              <w:rPr>
                <w:szCs w:val="22"/>
              </w:rPr>
              <w:t>da</w:t>
            </w:r>
            <w:r>
              <w:rPr>
                <w:szCs w:val="22"/>
              </w:rPr>
              <w:t xml:space="preserve"> der allerede er muli</w:t>
            </w:r>
            <w:r>
              <w:rPr>
                <w:szCs w:val="22"/>
              </w:rPr>
              <w:t>g</w:t>
            </w:r>
            <w:r>
              <w:rPr>
                <w:szCs w:val="22"/>
              </w:rPr>
              <w:t>hed for at overdrage virksomh</w:t>
            </w:r>
            <w:r>
              <w:rPr>
                <w:szCs w:val="22"/>
              </w:rPr>
              <w:t>e</w:t>
            </w:r>
            <w:r>
              <w:rPr>
                <w:szCs w:val="22"/>
              </w:rPr>
              <w:t>der til almennyttige erhvervsdr</w:t>
            </w:r>
            <w:r>
              <w:rPr>
                <w:szCs w:val="22"/>
              </w:rPr>
              <w:t>i</w:t>
            </w:r>
            <w:r>
              <w:rPr>
                <w:szCs w:val="22"/>
              </w:rPr>
              <w:t>vende fonde uden beskatning, s</w:t>
            </w:r>
            <w:r>
              <w:rPr>
                <w:szCs w:val="22"/>
              </w:rPr>
              <w:t>å</w:t>
            </w:r>
            <w:r>
              <w:rPr>
                <w:szCs w:val="22"/>
              </w:rPr>
              <w:t>fremt overdragelsen sker fra et holdingselskab. Dette kan således ikke anvendes som begrundelse for at haste en skærpelse af b</w:t>
            </w:r>
            <w:r>
              <w:rPr>
                <w:szCs w:val="22"/>
              </w:rPr>
              <w:t>e</w:t>
            </w:r>
            <w:r>
              <w:rPr>
                <w:szCs w:val="22"/>
              </w:rPr>
              <w:t>skatningen af fondene igennem.</w:t>
            </w:r>
          </w:p>
          <w:p w:rsidR="006F342F" w:rsidRDefault="006F342F" w:rsidP="00310554">
            <w:pPr>
              <w:pStyle w:val="Tabel-BrdtekstmedafstandptekstGaramond"/>
              <w:rPr>
                <w:szCs w:val="22"/>
              </w:rPr>
            </w:pPr>
          </w:p>
          <w:p w:rsidR="00BF70D8" w:rsidRPr="00BF70D8" w:rsidRDefault="00BF70D8" w:rsidP="00310554">
            <w:pPr>
              <w:pStyle w:val="Tabel-BrdtekstmedafstandptekstGaramond"/>
              <w:rPr>
                <w:b/>
                <w:szCs w:val="22"/>
              </w:rPr>
            </w:pPr>
            <w:r w:rsidRPr="00BF70D8">
              <w:rPr>
                <w:b/>
                <w:szCs w:val="22"/>
              </w:rPr>
              <w:t>De fondsejede virksomheders samfundsmæssige nytte</w:t>
            </w:r>
          </w:p>
          <w:p w:rsidR="00BF70D8" w:rsidRDefault="00860578" w:rsidP="00BF70D8">
            <w:pPr>
              <w:pStyle w:val="Tabel-BrdtekstmedafstandptekstGaramond"/>
            </w:pPr>
            <w:r>
              <w:t>Fondene anfører, at d</w:t>
            </w:r>
            <w:r w:rsidRPr="00BF70D8">
              <w:t xml:space="preserve">en </w:t>
            </w:r>
            <w:r w:rsidR="00BF70D8" w:rsidRPr="00BF70D8">
              <w:t xml:space="preserve">værdi, </w:t>
            </w:r>
            <w:r w:rsidR="00BF70D8" w:rsidRPr="00BF70D8">
              <w:lastRenderedPageBreak/>
              <w:t>der skabes gennem erhvervsakt</w:t>
            </w:r>
            <w:r w:rsidR="00BF70D8" w:rsidRPr="00BF70D8">
              <w:t>i</w:t>
            </w:r>
            <w:r w:rsidR="00BF70D8" w:rsidRPr="00BF70D8">
              <w:t>viteterne i en række af de største og mest betydningsfulde fond</w:t>
            </w:r>
            <w:r w:rsidR="00BF70D8" w:rsidRPr="00BF70D8">
              <w:t>s</w:t>
            </w:r>
            <w:r w:rsidR="00BF70D8" w:rsidRPr="00BF70D8">
              <w:t>ejede virksomheder i Danmark, ikke kun</w:t>
            </w:r>
            <w:r w:rsidRPr="00BF70D8">
              <w:t xml:space="preserve"> kommer</w:t>
            </w:r>
            <w:r w:rsidR="00BF70D8" w:rsidRPr="00BF70D8">
              <w:t xml:space="preserve"> samfundet til gavn i form af arbejdspladser, vækst og økonomisk stabilitet i forbindelse med finansielle kriser og lavkonjunktur, men en del af overskuddet bliver via uddelinger kanaliseret ud til almennyttige formål. </w:t>
            </w:r>
          </w:p>
          <w:p w:rsidR="00793D5A" w:rsidRPr="00BF70D8" w:rsidRDefault="00793D5A" w:rsidP="00BF70D8">
            <w:pPr>
              <w:pStyle w:val="Tabel-BrdtekstmedafstandptekstGaramond"/>
            </w:pPr>
          </w:p>
          <w:p w:rsidR="006F342F" w:rsidRDefault="00BF70D8" w:rsidP="00BF70D8">
            <w:pPr>
              <w:pStyle w:val="Tabel-BrdtekstmedafstandptekstGaramond"/>
            </w:pPr>
            <w:r w:rsidRPr="00BF70D8">
              <w:t>Især for forskningen på landets offentlige vidensinstitutioner spi</w:t>
            </w:r>
            <w:r w:rsidRPr="00BF70D8">
              <w:t>l</w:t>
            </w:r>
            <w:r w:rsidRPr="00BF70D8">
              <w:t>ler fondenes uddelinger en stadig større rolle. Siden 2008 er de pr</w:t>
            </w:r>
            <w:r w:rsidRPr="00BF70D8">
              <w:t>i</w:t>
            </w:r>
            <w:r w:rsidRPr="00BF70D8">
              <w:t>vate fondsmidler alene til unive</w:t>
            </w:r>
            <w:r w:rsidRPr="00BF70D8">
              <w:t>r</w:t>
            </w:r>
            <w:r w:rsidRPr="00BF70D8">
              <w:t xml:space="preserve">siteterne steget fra 729 mio. </w:t>
            </w:r>
            <w:r w:rsidR="00793D5A">
              <w:t xml:space="preserve">kr. </w:t>
            </w:r>
            <w:r w:rsidRPr="00BF70D8">
              <w:t xml:space="preserve">om året til 1415 mio. </w:t>
            </w:r>
            <w:r w:rsidR="00793D5A">
              <w:t xml:space="preserve">kr. </w:t>
            </w:r>
            <w:r w:rsidRPr="00BF70D8">
              <w:t>i 2013. Det vurderes, at fondenes bevi</w:t>
            </w:r>
            <w:r w:rsidRPr="00BF70D8">
              <w:t>l</w:t>
            </w:r>
            <w:r w:rsidRPr="00BF70D8">
              <w:t>linger årligt finansierer flere t</w:t>
            </w:r>
            <w:r w:rsidRPr="00BF70D8">
              <w:t>u</w:t>
            </w:r>
            <w:r w:rsidRPr="00BF70D8">
              <w:t>sinde årsværk på de danske un</w:t>
            </w:r>
            <w:r w:rsidRPr="00BF70D8">
              <w:t>i</w:t>
            </w:r>
            <w:r w:rsidRPr="00BF70D8">
              <w:t>versiteter, hospitaler og kulturi</w:t>
            </w:r>
            <w:r w:rsidRPr="00BF70D8">
              <w:t>n</w:t>
            </w:r>
            <w:r w:rsidRPr="00BF70D8">
              <w:t>stitutioner. Reducerede uddeli</w:t>
            </w:r>
            <w:r w:rsidRPr="00BF70D8">
              <w:t>n</w:t>
            </w:r>
            <w:r w:rsidRPr="00BF70D8">
              <w:t>ger vil således have en direkte og negativ effekt på bruttonationa</w:t>
            </w:r>
            <w:r w:rsidRPr="00BF70D8">
              <w:t>l</w:t>
            </w:r>
            <w:r w:rsidRPr="00BF70D8">
              <w:t>produktet og dermed væksten i Danmark.</w:t>
            </w:r>
          </w:p>
          <w:p w:rsidR="00793D5A" w:rsidRDefault="00793D5A" w:rsidP="00BF70D8">
            <w:pPr>
              <w:pStyle w:val="Tabel-BrdtekstmedafstandptekstGaramond"/>
            </w:pPr>
          </w:p>
          <w:p w:rsidR="00793D5A" w:rsidRPr="00793D5A" w:rsidRDefault="00793D5A" w:rsidP="00BF70D8">
            <w:pPr>
              <w:pStyle w:val="Tabel-BrdtekstmedafstandptekstGaramond"/>
              <w:rPr>
                <w:b/>
              </w:rPr>
            </w:pPr>
            <w:r w:rsidRPr="00793D5A">
              <w:rPr>
                <w:b/>
              </w:rPr>
              <w:t>Sammenfatning</w:t>
            </w:r>
          </w:p>
          <w:p w:rsidR="007A0F74" w:rsidRDefault="00860578" w:rsidP="00310554">
            <w:pPr>
              <w:pStyle w:val="Tabel-BrdtekstmedafstandptekstGaramond"/>
              <w:rPr>
                <w:szCs w:val="22"/>
              </w:rPr>
            </w:pPr>
            <w:r>
              <w:rPr>
                <w:szCs w:val="22"/>
              </w:rPr>
              <w:t xml:space="preserve">Fonden anfører, at en </w:t>
            </w:r>
            <w:r w:rsidR="00793D5A">
              <w:rPr>
                <w:szCs w:val="22"/>
              </w:rPr>
              <w:t>afskaffelse af konsolideringsfradraget og overførselsreglen vil føre til, at der uddeles væsentligt færre mi</w:t>
            </w:r>
            <w:r w:rsidR="00793D5A">
              <w:rPr>
                <w:szCs w:val="22"/>
              </w:rPr>
              <w:t>d</w:t>
            </w:r>
            <w:r w:rsidR="00793D5A">
              <w:rPr>
                <w:szCs w:val="22"/>
              </w:rPr>
              <w:t>ler fra fondenes side, hvilket vil have negative samfundsmæssige konsekvenser. Især vil det ramme støtten til kultur og den offentl</w:t>
            </w:r>
            <w:r w:rsidR="00793D5A">
              <w:rPr>
                <w:szCs w:val="22"/>
              </w:rPr>
              <w:t>i</w:t>
            </w:r>
            <w:r w:rsidR="00793D5A">
              <w:rPr>
                <w:szCs w:val="22"/>
              </w:rPr>
              <w:t>ge forskning, som i forvejen kæmper med faldende bevilli</w:t>
            </w:r>
            <w:r w:rsidR="00793D5A">
              <w:rPr>
                <w:szCs w:val="22"/>
              </w:rPr>
              <w:t>n</w:t>
            </w:r>
            <w:r w:rsidR="00793D5A">
              <w:rPr>
                <w:szCs w:val="22"/>
              </w:rPr>
              <w:t>ger, men også mange andre o</w:t>
            </w:r>
            <w:r w:rsidR="00793D5A">
              <w:rPr>
                <w:szCs w:val="22"/>
              </w:rPr>
              <w:t>m</w:t>
            </w:r>
            <w:r w:rsidR="00793D5A">
              <w:rPr>
                <w:szCs w:val="22"/>
              </w:rPr>
              <w:t>råder i samfundet, herunder en række svage grupper, vil blive b</w:t>
            </w:r>
            <w:r w:rsidR="00793D5A">
              <w:rPr>
                <w:szCs w:val="22"/>
              </w:rPr>
              <w:t>e</w:t>
            </w:r>
            <w:r w:rsidR="00793D5A">
              <w:rPr>
                <w:szCs w:val="22"/>
              </w:rPr>
              <w:lastRenderedPageBreak/>
              <w:t>rørt i væsentlig grad.</w:t>
            </w:r>
          </w:p>
          <w:p w:rsidR="00793D5A" w:rsidRDefault="00793D5A" w:rsidP="00310554">
            <w:pPr>
              <w:pStyle w:val="Tabel-BrdtekstmedafstandptekstGaramond"/>
              <w:rPr>
                <w:szCs w:val="22"/>
              </w:rPr>
            </w:pPr>
          </w:p>
          <w:p w:rsidR="00793D5A" w:rsidRDefault="00793D5A" w:rsidP="00793D5A">
            <w:pPr>
              <w:pStyle w:val="Tabel-BrdtekstmedafstandptekstGaramond"/>
            </w:pPr>
            <w:r w:rsidRPr="00793D5A">
              <w:t>Samtidig vil lovforslaget gøre det vanskeligere for fondene at org</w:t>
            </w:r>
            <w:r w:rsidRPr="00793D5A">
              <w:t>a</w:t>
            </w:r>
            <w:r w:rsidRPr="00793D5A">
              <w:t>nisere sig på den forretningsmæ</w:t>
            </w:r>
            <w:r w:rsidRPr="00793D5A">
              <w:t>s</w:t>
            </w:r>
            <w:r w:rsidRPr="00793D5A">
              <w:t xml:space="preserve">sigt mest effektive måde. </w:t>
            </w:r>
          </w:p>
          <w:p w:rsidR="00793D5A" w:rsidRPr="00793D5A" w:rsidRDefault="00793D5A" w:rsidP="00793D5A">
            <w:pPr>
              <w:pStyle w:val="Tabel-BrdtekstmedafstandptekstGaramond"/>
            </w:pPr>
          </w:p>
          <w:p w:rsidR="00793D5A" w:rsidRPr="00793D5A" w:rsidRDefault="00793D5A" w:rsidP="00793D5A">
            <w:pPr>
              <w:pStyle w:val="Tabel-BrdtekstmedafstandptekstGaramond"/>
              <w:rPr>
                <w:b/>
              </w:rPr>
            </w:pPr>
            <w:r>
              <w:t>Regeringen</w:t>
            </w:r>
            <w:r w:rsidRPr="00793D5A">
              <w:t xml:space="preserve"> opfordre</w:t>
            </w:r>
            <w:r>
              <w:t>s</w:t>
            </w:r>
            <w:r w:rsidRPr="00793D5A">
              <w:t xml:space="preserve"> derfor til, at forslaget i sin nuværende form tages af bordet</w:t>
            </w:r>
            <w:r>
              <w:t xml:space="preserve">. </w:t>
            </w:r>
          </w:p>
        </w:tc>
        <w:tc>
          <w:tcPr>
            <w:tcW w:w="209" w:type="dxa"/>
            <w:shd w:val="clear" w:color="auto" w:fill="FFFFFF" w:themeFill="background1"/>
          </w:tcPr>
          <w:p w:rsidR="007A0F74" w:rsidRPr="00B5346F" w:rsidRDefault="007A0F74" w:rsidP="00122C71"/>
        </w:tc>
        <w:tc>
          <w:tcPr>
            <w:tcW w:w="3259" w:type="dxa"/>
            <w:tcBorders>
              <w:top w:val="single" w:sz="4" w:space="0" w:color="14143C" w:themeColor="accent1"/>
              <w:bottom w:val="single" w:sz="4" w:space="0" w:color="14143C" w:themeColor="accent1"/>
            </w:tcBorders>
            <w:shd w:val="clear" w:color="auto" w:fill="D2CED8"/>
          </w:tcPr>
          <w:p w:rsidR="00B66DD6" w:rsidRDefault="00B66DD6" w:rsidP="00B66DD6">
            <w:pPr>
              <w:pStyle w:val="Tabel-BrdtekstmedafstandptekstGaramond"/>
            </w:pPr>
            <w:r>
              <w:t>Med konsolideringsfradraget kan fondene nøjes med at uddele 80 pct. af deres indtægter og allig</w:t>
            </w:r>
            <w:r>
              <w:t>e</w:t>
            </w:r>
            <w:r>
              <w:t>vel opnå et samlet fradrag, der svarer til 100 pct. af deres ska</w:t>
            </w:r>
            <w:r>
              <w:t>t</w:t>
            </w:r>
            <w:r>
              <w:t xml:space="preserve">tepligtige indkomst, så de ikke skal betale skat. </w:t>
            </w:r>
          </w:p>
          <w:p w:rsidR="00B66DD6" w:rsidRDefault="00B66DD6" w:rsidP="00B66DD6">
            <w:pPr>
              <w:pStyle w:val="Tabel-BrdtekstmedafstandptekstGaramond"/>
            </w:pPr>
          </w:p>
          <w:p w:rsidR="00B66DD6" w:rsidRDefault="00B66DD6" w:rsidP="00B66DD6">
            <w:pPr>
              <w:pStyle w:val="Tabel-BrdtekstmedafstandptekstGaramond"/>
            </w:pPr>
            <w:r w:rsidRPr="00F15831">
              <w:t>Med en ophævelse af konsolid</w:t>
            </w:r>
            <w:r w:rsidRPr="00F15831">
              <w:t>e</w:t>
            </w:r>
            <w:r w:rsidRPr="00F15831">
              <w:t>ringsfradraget får fonde samme skattem</w:t>
            </w:r>
            <w:r>
              <w:t>æssige vilkår i forhold til kon</w:t>
            </w:r>
            <w:r w:rsidRPr="00F15831">
              <w:t>solidering af deres kapital som almindel</w:t>
            </w:r>
            <w:r w:rsidR="003E32EE">
              <w:t>i</w:t>
            </w:r>
            <w:r w:rsidRPr="00F15831">
              <w:t>ge selskaber.</w:t>
            </w:r>
          </w:p>
          <w:p w:rsidR="00B66DD6" w:rsidRDefault="00B66DD6" w:rsidP="00B66DD6">
            <w:pPr>
              <w:pStyle w:val="Tabel-BrdtekstmedafstandptekstGaramond"/>
              <w:ind w:left="0"/>
            </w:pPr>
          </w:p>
          <w:p w:rsidR="00B66DD6" w:rsidRDefault="00B66DD6" w:rsidP="00B66DD6">
            <w:pPr>
              <w:pStyle w:val="Tabel-BrdtekstmedafstandptekstGaramond"/>
            </w:pPr>
            <w:r>
              <w:t>Det betyder, at fonde, der vælger at henlægge indtægter til kons</w:t>
            </w:r>
            <w:r>
              <w:t>o</w:t>
            </w:r>
            <w:r>
              <w:t>lidering frem for at uddele dem, kan komme i skatteposition og vil skulle</w:t>
            </w:r>
            <w:r w:rsidR="004B79BA">
              <w:t xml:space="preserve"> betale selskabskat af de hen</w:t>
            </w:r>
            <w:r>
              <w:t xml:space="preserve">lagte indtægter. </w:t>
            </w:r>
          </w:p>
          <w:p w:rsidR="00B66DD6" w:rsidRDefault="00B66DD6" w:rsidP="00B66DD6">
            <w:pPr>
              <w:pStyle w:val="Tabel-BrdtekstmedafstandptekstGaramond"/>
              <w:ind w:left="0"/>
            </w:pPr>
          </w:p>
          <w:p w:rsidR="00B66DD6" w:rsidRDefault="004B79BA" w:rsidP="00B66DD6">
            <w:pPr>
              <w:pStyle w:val="Tabel-BrdtekstmedafstandptekstGaramond"/>
            </w:pPr>
            <w:r>
              <w:t>Det bemærkes dog at fonde</w:t>
            </w:r>
            <w:r w:rsidR="004D5F31">
              <w:t xml:space="preserve"> til </w:t>
            </w:r>
            <w:r w:rsidR="004D5F31">
              <w:lastRenderedPageBreak/>
              <w:t xml:space="preserve">forskel fra </w:t>
            </w:r>
            <w:r w:rsidR="00B66DD6">
              <w:t xml:space="preserve">almindelige </w:t>
            </w:r>
            <w:r w:rsidR="004D5F31">
              <w:t>selskaber har</w:t>
            </w:r>
            <w:r w:rsidR="00B66DD6">
              <w:t xml:space="preserve"> 100 pct. fradrag for uddeli</w:t>
            </w:r>
            <w:r w:rsidR="00B66DD6">
              <w:t>n</w:t>
            </w:r>
            <w:r w:rsidR="00B66DD6">
              <w:t xml:space="preserve">ger </w:t>
            </w:r>
            <w:r w:rsidR="004D5F31">
              <w:t xml:space="preserve">og hensættelser </w:t>
            </w:r>
            <w:r w:rsidR="00B66DD6">
              <w:t>til almenny</w:t>
            </w:r>
            <w:r w:rsidR="00B66DD6">
              <w:t>t</w:t>
            </w:r>
            <w:r w:rsidR="00B66DD6">
              <w:t>tige formål. En fond, der vælger at uddele alle årets indtægter, vil således fortsat have en skatt</w:t>
            </w:r>
            <w:r w:rsidR="00B66DD6">
              <w:t>e</w:t>
            </w:r>
            <w:r w:rsidR="00B66DD6">
              <w:t>pligtig indkomst på nul.</w:t>
            </w:r>
          </w:p>
          <w:p w:rsidR="004D5F31" w:rsidRDefault="004D5F31" w:rsidP="00B66DD6">
            <w:pPr>
              <w:pStyle w:val="Tabel-BrdtekstmedafstandptekstGaramond"/>
            </w:pPr>
          </w:p>
          <w:p w:rsidR="004D5F31" w:rsidRDefault="004D5F31" w:rsidP="00B66DD6">
            <w:pPr>
              <w:pStyle w:val="Tabel-BrdtekstmedafstandptekstGaramond"/>
            </w:pPr>
          </w:p>
          <w:p w:rsidR="004D5F31" w:rsidRDefault="004D5F31" w:rsidP="00B66DD6">
            <w:pPr>
              <w:pStyle w:val="Tabel-BrdtekstmedafstandptekstGaramond"/>
            </w:pPr>
          </w:p>
          <w:p w:rsidR="004D5F31" w:rsidRDefault="004D5F31" w:rsidP="00B66DD6">
            <w:pPr>
              <w:pStyle w:val="Tabel-BrdtekstmedafstandptekstGaramond"/>
            </w:pPr>
          </w:p>
          <w:p w:rsidR="004D5F31" w:rsidRDefault="004D5F31" w:rsidP="00B66DD6">
            <w:pPr>
              <w:pStyle w:val="Tabel-BrdtekstmedafstandptekstGaramond"/>
            </w:pPr>
          </w:p>
          <w:p w:rsidR="006723CA" w:rsidRDefault="006723CA" w:rsidP="00B66DD6">
            <w:pPr>
              <w:pStyle w:val="Tabel-BrdtekstmedafstandptekstGaramond"/>
            </w:pPr>
          </w:p>
          <w:p w:rsidR="006723CA" w:rsidRDefault="006723CA" w:rsidP="00B66DD6">
            <w:pPr>
              <w:pStyle w:val="Tabel-BrdtekstmedafstandptekstGaramond"/>
            </w:pPr>
          </w:p>
          <w:p w:rsidR="006723CA" w:rsidRDefault="006723CA" w:rsidP="00B66DD6">
            <w:pPr>
              <w:pStyle w:val="Tabel-BrdtekstmedafstandptekstGaramond"/>
            </w:pPr>
          </w:p>
          <w:p w:rsidR="006723CA" w:rsidRDefault="006723CA" w:rsidP="00B66DD6">
            <w:pPr>
              <w:pStyle w:val="Tabel-BrdtekstmedafstandptekstGaramond"/>
            </w:pPr>
          </w:p>
          <w:p w:rsidR="004D5F31" w:rsidRDefault="004D5F31" w:rsidP="00B66DD6">
            <w:pPr>
              <w:pStyle w:val="Tabel-BrdtekstmedafstandptekstGaramond"/>
            </w:pPr>
            <w:r>
              <w:t xml:space="preserve">Der henvises til kommentaren til </w:t>
            </w:r>
            <w:r w:rsidRPr="001465F2">
              <w:t>Deloitte, EY, KPMG og PwC</w:t>
            </w:r>
            <w:r>
              <w:t>.</w:t>
            </w: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772F4B" w:rsidRDefault="00772F4B" w:rsidP="00B66DD6">
            <w:pPr>
              <w:pStyle w:val="Tabel-BrdtekstmedafstandptekstGaramond"/>
            </w:pPr>
          </w:p>
          <w:p w:rsidR="002276F2" w:rsidRDefault="002276F2" w:rsidP="00772F4B">
            <w:pPr>
              <w:pStyle w:val="Tabel-BrdtekstmedafstandptekstGaramond"/>
            </w:pPr>
          </w:p>
          <w:p w:rsidR="00772F4B" w:rsidRDefault="00B505A8" w:rsidP="00772F4B">
            <w:pPr>
              <w:pStyle w:val="Tabel-BrdtekstmedafstandptekstGaramond"/>
            </w:pPr>
            <w:r>
              <w:t xml:space="preserve">Regeringen </w:t>
            </w:r>
            <w:r w:rsidR="009E1F67">
              <w:t>vil</w:t>
            </w:r>
            <w:r w:rsidR="00772F4B">
              <w:t xml:space="preserve"> til 2. behandli</w:t>
            </w:r>
            <w:r w:rsidR="00772F4B">
              <w:t>n</w:t>
            </w:r>
            <w:r w:rsidR="00772F4B">
              <w:t>gen af lovforslaget stille</w:t>
            </w:r>
            <w:r w:rsidR="009E1F67">
              <w:t xml:space="preserve"> et</w:t>
            </w:r>
            <w:r w:rsidR="00772F4B">
              <w:t xml:space="preserve"> æ</w:t>
            </w:r>
            <w:r w:rsidR="00772F4B">
              <w:t>n</w:t>
            </w:r>
            <w:r w:rsidR="00772F4B">
              <w:t xml:space="preserve">dringsforslag </w:t>
            </w:r>
            <w:r w:rsidR="00772F4B" w:rsidRPr="001465F2">
              <w:t>om, at den foresl</w:t>
            </w:r>
            <w:r w:rsidR="00772F4B" w:rsidRPr="001465F2">
              <w:t>å</w:t>
            </w:r>
            <w:r w:rsidR="00772F4B" w:rsidRPr="001465F2">
              <w:t>ede ophævelse af overførselsre</w:t>
            </w:r>
            <w:r w:rsidR="00772F4B" w:rsidRPr="001465F2">
              <w:t>g</w:t>
            </w:r>
            <w:r w:rsidR="00772F4B" w:rsidRPr="001465F2">
              <w:t>len udgår af forslaget</w:t>
            </w:r>
            <w:r w:rsidR="00772F4B">
              <w:t xml:space="preserve">. </w:t>
            </w:r>
          </w:p>
          <w:p w:rsidR="00772F4B" w:rsidRDefault="00772F4B" w:rsidP="00772F4B">
            <w:pPr>
              <w:pStyle w:val="Tabel-BrdtekstmedafstandptekstGaramond"/>
            </w:pPr>
          </w:p>
          <w:p w:rsidR="00772F4B" w:rsidRDefault="00772F4B" w:rsidP="00772F4B">
            <w:pPr>
              <w:pStyle w:val="Tabel-BrdtekstmedafstandptekstGaramond"/>
            </w:pPr>
            <w:r>
              <w:t xml:space="preserve">Baggrunden herfor er nærmere beskrevet i kommentaren til </w:t>
            </w:r>
            <w:r w:rsidRPr="001465F2">
              <w:t>D</w:t>
            </w:r>
            <w:r w:rsidRPr="001465F2">
              <w:t>e</w:t>
            </w:r>
            <w:r w:rsidRPr="001465F2">
              <w:t>loitte, EY, KPMG og PwC</w:t>
            </w:r>
            <w:r>
              <w:t>.</w:t>
            </w: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151675" w:rsidRDefault="00151675" w:rsidP="00772F4B">
            <w:pPr>
              <w:pStyle w:val="Tabel-BrdtekstmedafstandptekstGaramond"/>
            </w:pPr>
          </w:p>
          <w:p w:rsidR="00151675" w:rsidRDefault="00151675" w:rsidP="00772F4B">
            <w:pPr>
              <w:pStyle w:val="Tabel-BrdtekstmedafstandptekstGaramond"/>
            </w:pPr>
          </w:p>
          <w:p w:rsidR="00374F99" w:rsidRDefault="00374F99" w:rsidP="00772F4B">
            <w:pPr>
              <w:pStyle w:val="Tabel-BrdtekstmedafstandptekstGaramond"/>
            </w:pPr>
            <w:r>
              <w:t>Der kan henvises til komment</w:t>
            </w:r>
            <w:r>
              <w:t>a</w:t>
            </w:r>
            <w:r>
              <w:t>ren til Akademikerne.</w:t>
            </w: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374F99" w:rsidRDefault="00374F99" w:rsidP="00772F4B">
            <w:pPr>
              <w:pStyle w:val="Tabel-BrdtekstmedafstandptekstGaramond"/>
            </w:pPr>
          </w:p>
          <w:p w:rsidR="00772F4B" w:rsidRPr="00B5346F" w:rsidRDefault="00772F4B">
            <w:pPr>
              <w:pStyle w:val="Tabel-BrdtekstmedafstandptekstGaramond"/>
            </w:pPr>
          </w:p>
        </w:tc>
      </w:tr>
      <w:tr w:rsidR="000945AB" w:rsidRPr="00B5346F" w:rsidTr="00C87589">
        <w:tc>
          <w:tcPr>
            <w:tcW w:w="2653" w:type="dxa"/>
            <w:tcBorders>
              <w:top w:val="single" w:sz="4" w:space="0" w:color="D1C5C3" w:themeColor="accent3"/>
              <w:bottom w:val="single" w:sz="4" w:space="0" w:color="D1C5C3" w:themeColor="accent3"/>
            </w:tcBorders>
            <w:shd w:val="clear" w:color="auto" w:fill="FBF9F9"/>
          </w:tcPr>
          <w:p w:rsidR="000945AB" w:rsidRDefault="000945AB" w:rsidP="00224650">
            <w:pPr>
              <w:pStyle w:val="Tabel-BrdtekstmedafstandptekstGaramond"/>
              <w:rPr>
                <w:i/>
              </w:rPr>
            </w:pPr>
            <w:r>
              <w:rPr>
                <w:i/>
              </w:rPr>
              <w:lastRenderedPageBreak/>
              <w:t>Organisationen Danske M</w:t>
            </w:r>
            <w:r>
              <w:rPr>
                <w:i/>
              </w:rPr>
              <w:t>u</w:t>
            </w:r>
            <w:r>
              <w:rPr>
                <w:i/>
              </w:rPr>
              <w:t>seer</w:t>
            </w:r>
            <w:r w:rsidR="00D70F94">
              <w:rPr>
                <w:i/>
              </w:rPr>
              <w:t>, ODM</w:t>
            </w:r>
          </w:p>
        </w:tc>
        <w:tc>
          <w:tcPr>
            <w:tcW w:w="194" w:type="dxa"/>
            <w:shd w:val="clear" w:color="auto" w:fill="FFFFFF" w:themeFill="background1"/>
          </w:tcPr>
          <w:p w:rsidR="000945AB" w:rsidRPr="00B5346F" w:rsidRDefault="000945AB" w:rsidP="00122C71"/>
        </w:tc>
        <w:tc>
          <w:tcPr>
            <w:tcW w:w="3324" w:type="dxa"/>
            <w:tcBorders>
              <w:top w:val="single" w:sz="4" w:space="0" w:color="D1C5C3" w:themeColor="accent3"/>
              <w:bottom w:val="single" w:sz="4" w:space="0" w:color="D1C5C3" w:themeColor="accent3"/>
            </w:tcBorders>
            <w:shd w:val="clear" w:color="auto" w:fill="FBF9F9"/>
          </w:tcPr>
          <w:p w:rsidR="00D70F94" w:rsidRDefault="00FF273A" w:rsidP="00D70F94">
            <w:pPr>
              <w:pStyle w:val="Tabel-BrdtekstmedafstandptekstGaramond"/>
            </w:pPr>
            <w:r>
              <w:t>ODM</w:t>
            </w:r>
            <w:r w:rsidR="00D70F94" w:rsidRPr="00D70F94">
              <w:t xml:space="preserve"> udtrykke</w:t>
            </w:r>
            <w:r>
              <w:t>r</w:t>
            </w:r>
            <w:r w:rsidR="00D70F94" w:rsidRPr="00D70F94">
              <w:t xml:space="preserve"> </w:t>
            </w:r>
            <w:r>
              <w:t>sin</w:t>
            </w:r>
            <w:r w:rsidR="00D70F94" w:rsidRPr="00D70F94">
              <w:t xml:space="preserve"> største fo</w:t>
            </w:r>
            <w:r w:rsidR="00D70F94" w:rsidRPr="00D70F94">
              <w:t>r</w:t>
            </w:r>
            <w:r w:rsidR="00D70F94" w:rsidRPr="00D70F94">
              <w:t>undring over, at der ikke forud for forslaget og den meget korte høringsfrist, hvor ODM i øvrigt ikke er indbudt som høringspart, har været en debat, endsige været nogen anden form for mulighed for at udtrykke sig i sagens a</w:t>
            </w:r>
            <w:r w:rsidR="00D70F94" w:rsidRPr="00D70F94">
              <w:t>n</w:t>
            </w:r>
            <w:r w:rsidR="00D70F94" w:rsidRPr="00D70F94">
              <w:t xml:space="preserve">ledning. </w:t>
            </w:r>
            <w:r>
              <w:t xml:space="preserve">Dette er en </w:t>
            </w:r>
            <w:r w:rsidR="00D70F94" w:rsidRPr="00D70F94">
              <w:t>ejendomm</w:t>
            </w:r>
            <w:r w:rsidR="00D70F94" w:rsidRPr="00D70F94">
              <w:t>e</w:t>
            </w:r>
            <w:r w:rsidR="00D70F94" w:rsidRPr="00D70F94">
              <w:t>lig praksis</w:t>
            </w:r>
            <w:r>
              <w:t xml:space="preserve">, da der er tale om </w:t>
            </w:r>
            <w:r w:rsidR="00D70F94" w:rsidRPr="00D70F94">
              <w:t>et felt</w:t>
            </w:r>
            <w:r>
              <w:t>,</w:t>
            </w:r>
            <w:r w:rsidR="00D70F94" w:rsidRPr="00D70F94">
              <w:t xml:space="preserve"> der har </w:t>
            </w:r>
            <w:r>
              <w:t xml:space="preserve">en </w:t>
            </w:r>
            <w:r w:rsidR="00D70F94" w:rsidRPr="00D70F94">
              <w:t>væsentlig sa</w:t>
            </w:r>
            <w:r w:rsidR="00D70F94" w:rsidRPr="00D70F94">
              <w:t>m</w:t>
            </w:r>
            <w:r w:rsidR="00D70F94" w:rsidRPr="00D70F94">
              <w:t>fundsbetydning, herunder stor betydning for det danske kultu</w:t>
            </w:r>
            <w:r w:rsidR="00D70F94" w:rsidRPr="00D70F94">
              <w:t>r</w:t>
            </w:r>
            <w:r w:rsidR="00D70F94" w:rsidRPr="00D70F94">
              <w:t xml:space="preserve">liv og dermed museerne i hele Danmark. </w:t>
            </w:r>
          </w:p>
          <w:p w:rsidR="00BD643C" w:rsidRPr="00D70F94" w:rsidRDefault="00BD643C" w:rsidP="00D70F94">
            <w:pPr>
              <w:pStyle w:val="Tabel-BrdtekstmedafstandptekstGaramond"/>
            </w:pPr>
          </w:p>
          <w:p w:rsidR="00D70F94" w:rsidRDefault="00FF273A" w:rsidP="00D70F94">
            <w:pPr>
              <w:pStyle w:val="Tabel-BrdtekstmedafstandptekstGaramond"/>
            </w:pPr>
            <w:r>
              <w:t>ODM bemærker, at</w:t>
            </w:r>
            <w:r w:rsidR="00766995">
              <w:t xml:space="preserve"> det</w:t>
            </w:r>
            <w:r>
              <w:t xml:space="preserve"> </w:t>
            </w:r>
            <w:r w:rsidR="00766995">
              <w:t>ikke al</w:t>
            </w:r>
            <w:r w:rsidR="00766995">
              <w:t>e</w:t>
            </w:r>
            <w:r w:rsidR="00766995">
              <w:t xml:space="preserve">ne er </w:t>
            </w:r>
            <w:r w:rsidR="00D70F94" w:rsidRPr="00D70F94">
              <w:t>kultur</w:t>
            </w:r>
            <w:r w:rsidR="00766995">
              <w:t xml:space="preserve">livet, men også </w:t>
            </w:r>
            <w:r w:rsidR="00D70F94" w:rsidRPr="00D70F94">
              <w:t>fors</w:t>
            </w:r>
            <w:r w:rsidR="00D70F94" w:rsidRPr="00D70F94">
              <w:t>k</w:t>
            </w:r>
            <w:r w:rsidR="00D70F94" w:rsidRPr="00D70F94">
              <w:t>ning</w:t>
            </w:r>
            <w:r w:rsidR="00766995">
              <w:t>en, der</w:t>
            </w:r>
            <w:r w:rsidR="00D70F94" w:rsidRPr="00D70F94">
              <w:t xml:space="preserve"> vil blive ubærligt ramt, hvis forslag</w:t>
            </w:r>
            <w:r w:rsidR="00766995">
              <w:t>et</w:t>
            </w:r>
            <w:r w:rsidR="00D70F94" w:rsidRPr="00D70F94">
              <w:t xml:space="preserve"> vedtages. Museer er også forskningsinstit</w:t>
            </w:r>
            <w:r w:rsidR="00D70F94" w:rsidRPr="00D70F94">
              <w:t>u</w:t>
            </w:r>
            <w:r w:rsidR="00D70F94" w:rsidRPr="00D70F94">
              <w:t>tioner, der modtager anseelige donationer direkte til dette fo</w:t>
            </w:r>
            <w:r w:rsidR="00D70F94" w:rsidRPr="00D70F94">
              <w:t>r</w:t>
            </w:r>
            <w:r w:rsidR="00D70F94" w:rsidRPr="00D70F94">
              <w:t xml:space="preserve">mål fra forskellige almennyttige fonde. </w:t>
            </w:r>
          </w:p>
          <w:p w:rsidR="00FF273A" w:rsidRPr="00D70F94" w:rsidRDefault="00FF273A" w:rsidP="00D70F94">
            <w:pPr>
              <w:pStyle w:val="Tabel-BrdtekstmedafstandptekstGaramond"/>
            </w:pPr>
          </w:p>
          <w:p w:rsidR="000945AB" w:rsidRDefault="00D70F94" w:rsidP="00145B21">
            <w:pPr>
              <w:pStyle w:val="Tabel-BrdtekstmedafstandptekstGaramond"/>
            </w:pPr>
            <w:r w:rsidRPr="00D70F94">
              <w:t>Det er væsentligt at holde sig for øje, at den netop indgåede f</w:t>
            </w:r>
            <w:r w:rsidRPr="00D70F94">
              <w:t>i</w:t>
            </w:r>
            <w:r w:rsidRPr="00D70F94">
              <w:t>nanslov allerede rummer nedsk</w:t>
            </w:r>
            <w:r w:rsidRPr="00D70F94">
              <w:t>æ</w:t>
            </w:r>
            <w:r w:rsidRPr="00D70F94">
              <w:t>ringer i form af det generelle o</w:t>
            </w:r>
            <w:r w:rsidRPr="00D70F94">
              <w:t>m</w:t>
            </w:r>
            <w:r w:rsidRPr="00D70F94">
              <w:t>fordelingsbidrag, der over de n</w:t>
            </w:r>
            <w:r w:rsidRPr="00D70F94">
              <w:t>æ</w:t>
            </w:r>
            <w:r w:rsidRPr="00D70F94">
              <w:t>ste år vil fjerne</w:t>
            </w:r>
            <w:r w:rsidR="00145B21">
              <w:t xml:space="preserve"> 8 pct. </w:t>
            </w:r>
            <w:r w:rsidRPr="00D70F94">
              <w:t>af de stat</w:t>
            </w:r>
            <w:r w:rsidRPr="00D70F94">
              <w:t>s</w:t>
            </w:r>
            <w:r w:rsidRPr="00D70F94">
              <w:lastRenderedPageBreak/>
              <w:t>lige midler og betyde markante beskæringer på museerne. F</w:t>
            </w:r>
            <w:r w:rsidRPr="00D70F94">
              <w:t>i</w:t>
            </w:r>
            <w:r w:rsidRPr="00D70F94">
              <w:t>nanslovsnedskæringen skal i ø</w:t>
            </w:r>
            <w:r w:rsidRPr="00D70F94">
              <w:t>v</w:t>
            </w:r>
            <w:r w:rsidRPr="00D70F94">
              <w:t>rigt sammenholdes med generelt stramme kommunale budgetter, der gør, at museer i hele landet alene af den grund står over</w:t>
            </w:r>
            <w:r w:rsidR="00145B21">
              <w:t xml:space="preserve"> </w:t>
            </w:r>
            <w:r w:rsidRPr="00D70F94">
              <w:t>for store økonomiske udfordringer.</w:t>
            </w:r>
          </w:p>
          <w:p w:rsidR="00145B21" w:rsidRPr="00145B21" w:rsidRDefault="00145B21" w:rsidP="00145B21">
            <w:pPr>
              <w:pStyle w:val="Tabel-BrdtekstmedafstandptekstGaramond"/>
            </w:pPr>
          </w:p>
          <w:p w:rsidR="00145B21" w:rsidRDefault="00145B21" w:rsidP="00145B21">
            <w:pPr>
              <w:pStyle w:val="Tabel-BrdtekstmedafstandptekstGaramond"/>
            </w:pPr>
            <w:r w:rsidRPr="00145B21">
              <w:t xml:space="preserve">For at gøre ondt værre rammer </w:t>
            </w:r>
            <w:r>
              <w:t>lov</w:t>
            </w:r>
            <w:r w:rsidRPr="00145B21">
              <w:t>forslag</w:t>
            </w:r>
            <w:r>
              <w:t>et</w:t>
            </w:r>
            <w:r w:rsidRPr="00145B21">
              <w:t xml:space="preserve"> museerne hårdt, idet fondenes økonomi til støtte for såvel kunst og kultur bliver ramt drastisk. Fondene vurderer sål</w:t>
            </w:r>
            <w:r w:rsidRPr="00145B21">
              <w:t>e</w:t>
            </w:r>
            <w:r w:rsidRPr="00145B21">
              <w:t>des selv i dagspressen, at kulturl</w:t>
            </w:r>
            <w:r w:rsidRPr="00145B21">
              <w:t>i</w:t>
            </w:r>
            <w:r w:rsidRPr="00145B21">
              <w:t>vet, herunder museerne, vil gå glip af endog mange midler ved ændringen. Anker Brink Lund, professor på Center for Civilsa</w:t>
            </w:r>
            <w:r w:rsidRPr="00145B21">
              <w:t>m</w:t>
            </w:r>
            <w:r w:rsidRPr="00145B21">
              <w:t>fundsstudier ved CBS, angiver, at det beløb</w:t>
            </w:r>
            <w:r>
              <w:t>,</w:t>
            </w:r>
            <w:r w:rsidRPr="00145B21">
              <w:t xml:space="preserve"> som fondene kan dele ud, reduceres med mindst 20</w:t>
            </w:r>
            <w:r>
              <w:t xml:space="preserve"> pct.</w:t>
            </w:r>
            <w:r w:rsidR="0067016D">
              <w:t xml:space="preserve">, </w:t>
            </w:r>
            <w:r w:rsidR="0067016D" w:rsidRPr="0067016D">
              <w:t>når ordningen er slået fuldt igennem. Det kan passende sammenholdes med, at Politiken Research sidste år beregnede, at de private fonde i 2012 alene d</w:t>
            </w:r>
            <w:r w:rsidR="0067016D" w:rsidRPr="0067016D">
              <w:t>o</w:t>
            </w:r>
            <w:r w:rsidR="0067016D" w:rsidRPr="0067016D">
              <w:t>nerede ca. 1,5 mia. kr. til det da</w:t>
            </w:r>
            <w:r w:rsidR="0067016D" w:rsidRPr="0067016D">
              <w:t>n</w:t>
            </w:r>
            <w:r w:rsidR="0067016D" w:rsidRPr="0067016D">
              <w:t>ske kunst- og kulturliv (Politiken, 25. november 2015). Regeringen anslår selv et provenu på statens finanser på ca. 200 mio.kr.</w:t>
            </w:r>
          </w:p>
          <w:p w:rsidR="0067016D" w:rsidRDefault="0067016D" w:rsidP="00145B21">
            <w:pPr>
              <w:pStyle w:val="Tabel-BrdtekstmedafstandptekstGaramond"/>
            </w:pPr>
          </w:p>
          <w:p w:rsidR="0067016D" w:rsidRDefault="00860578" w:rsidP="0067016D">
            <w:pPr>
              <w:pStyle w:val="Tabel-BrdtekstmedafstandptekstGaramond"/>
            </w:pPr>
            <w:r>
              <w:t>ODM finder det</w:t>
            </w:r>
            <w:r w:rsidR="0067016D" w:rsidRPr="0067016D">
              <w:t xml:space="preserve"> vigtigt at unde</w:t>
            </w:r>
            <w:r w:rsidR="0067016D" w:rsidRPr="0067016D">
              <w:t>r</w:t>
            </w:r>
            <w:r w:rsidR="0067016D" w:rsidRPr="0067016D">
              <w:t>strege, at fondene medvirker ga</w:t>
            </w:r>
            <w:r w:rsidR="0067016D" w:rsidRPr="0067016D">
              <w:t>n</w:t>
            </w:r>
            <w:r w:rsidR="0067016D" w:rsidRPr="0067016D">
              <w:t>ske uegennyttigt til kulturel mangfoldighed og udvikling i h</w:t>
            </w:r>
            <w:r w:rsidR="0067016D" w:rsidRPr="0067016D">
              <w:t>e</w:t>
            </w:r>
            <w:r w:rsidR="0067016D" w:rsidRPr="0067016D">
              <w:t>le landet, herunder i høj grad på museerne, hvor væsentlige opg</w:t>
            </w:r>
            <w:r w:rsidR="0067016D" w:rsidRPr="0067016D">
              <w:t>a</w:t>
            </w:r>
            <w:r w:rsidR="0067016D" w:rsidRPr="0067016D">
              <w:t>ver i dag løses i et tæt samspil. En række opgaver ville således næppe blive løst uden fondenes aktive indsats. Forslaget er derfor en paradoksal og katastrofal b</w:t>
            </w:r>
            <w:r w:rsidR="0067016D" w:rsidRPr="0067016D">
              <w:t>e</w:t>
            </w:r>
            <w:r w:rsidR="0067016D" w:rsidRPr="0067016D">
              <w:lastRenderedPageBreak/>
              <w:t>slutning, bl.a. fordi politikerne gang på gang meddeler, at kultu</w:t>
            </w:r>
            <w:r w:rsidR="0067016D" w:rsidRPr="0067016D">
              <w:t>r</w:t>
            </w:r>
            <w:r w:rsidR="0067016D" w:rsidRPr="0067016D">
              <w:t>institutioner, herunder museerne, må se efter andre finansiering</w:t>
            </w:r>
            <w:r w:rsidR="0067016D" w:rsidRPr="0067016D">
              <w:t>s</w:t>
            </w:r>
            <w:r w:rsidR="0067016D" w:rsidRPr="0067016D">
              <w:t>muligheder, når de offentlige ki</w:t>
            </w:r>
            <w:r w:rsidR="0067016D" w:rsidRPr="0067016D">
              <w:t>l</w:t>
            </w:r>
            <w:r w:rsidR="0067016D" w:rsidRPr="0067016D">
              <w:t>der tørrer ud, og her selv ofte p</w:t>
            </w:r>
            <w:r w:rsidR="0067016D" w:rsidRPr="0067016D">
              <w:t>e</w:t>
            </w:r>
            <w:r w:rsidR="0067016D" w:rsidRPr="0067016D">
              <w:t xml:space="preserve">ger på de almennyttige fonde. </w:t>
            </w:r>
          </w:p>
          <w:p w:rsidR="0067016D" w:rsidRPr="0067016D" w:rsidRDefault="0067016D" w:rsidP="0067016D">
            <w:pPr>
              <w:pStyle w:val="Tabel-BrdtekstmedafstandptekstGaramond"/>
            </w:pPr>
          </w:p>
          <w:p w:rsidR="0067016D" w:rsidRPr="00B5346F" w:rsidRDefault="0067016D" w:rsidP="00860578">
            <w:pPr>
              <w:pStyle w:val="Tabel-BrdtekstmedafstandptekstGaramond"/>
            </w:pPr>
            <w:r w:rsidRPr="0067016D">
              <w:t>ODM bede</w:t>
            </w:r>
            <w:r w:rsidR="00860578">
              <w:t>r derfor</w:t>
            </w:r>
            <w:r w:rsidRPr="0067016D">
              <w:t xml:space="preserve"> regeringen genoverveje den forslåede æ</w:t>
            </w:r>
            <w:r w:rsidRPr="0067016D">
              <w:t>n</w:t>
            </w:r>
            <w:r w:rsidRPr="0067016D">
              <w:t>dring, og i øvrigt den samlede e</w:t>
            </w:r>
            <w:r w:rsidRPr="0067016D">
              <w:t>f</w:t>
            </w:r>
            <w:r w:rsidRPr="0067016D">
              <w:t>fekt af de seneste uafhængige, men sammenfaldende beslutni</w:t>
            </w:r>
            <w:r w:rsidRPr="0067016D">
              <w:t>n</w:t>
            </w:r>
            <w:r w:rsidRPr="0067016D">
              <w:t>ger om besparelser, og at man vil bemærke, at fondene spiller en overordentlig væsentlig rolle for det danske kulturliv.</w:t>
            </w:r>
          </w:p>
        </w:tc>
        <w:tc>
          <w:tcPr>
            <w:tcW w:w="209" w:type="dxa"/>
            <w:shd w:val="clear" w:color="auto" w:fill="FFFFFF" w:themeFill="background1"/>
          </w:tcPr>
          <w:p w:rsidR="000945AB" w:rsidRPr="00B5346F" w:rsidRDefault="000945AB" w:rsidP="00122C71"/>
        </w:tc>
        <w:tc>
          <w:tcPr>
            <w:tcW w:w="3259" w:type="dxa"/>
            <w:tcBorders>
              <w:top w:val="single" w:sz="4" w:space="0" w:color="14143C" w:themeColor="accent1"/>
              <w:bottom w:val="single" w:sz="4" w:space="0" w:color="14143C" w:themeColor="accent1"/>
            </w:tcBorders>
            <w:shd w:val="clear" w:color="auto" w:fill="D2CED8"/>
          </w:tcPr>
          <w:p w:rsidR="000945AB" w:rsidRDefault="00772F4B" w:rsidP="00122C71">
            <w:pPr>
              <w:pStyle w:val="Tabel-BrdtekstmedafstandptekstGaramond"/>
            </w:pPr>
            <w:r>
              <w:t>Der henvises til kommentaren til CEPOS</w:t>
            </w:r>
            <w:r w:rsidR="002960F7">
              <w:t xml:space="preserve"> og til Dansk Erhverv.</w:t>
            </w:r>
          </w:p>
          <w:p w:rsidR="00772F4B" w:rsidRDefault="00772F4B" w:rsidP="00122C71">
            <w:pPr>
              <w:pStyle w:val="Tabel-BrdtekstmedafstandptekstGaramond"/>
            </w:pPr>
          </w:p>
          <w:p w:rsidR="00772F4B" w:rsidRDefault="00772F4B" w:rsidP="00122C71">
            <w:pPr>
              <w:pStyle w:val="Tabel-BrdtekstmedafstandptekstGaramond"/>
            </w:pPr>
          </w:p>
          <w:p w:rsidR="00772F4B" w:rsidRDefault="00772F4B" w:rsidP="00122C71">
            <w:pPr>
              <w:pStyle w:val="Tabel-BrdtekstmedafstandptekstGaramond"/>
            </w:pPr>
          </w:p>
          <w:p w:rsidR="00772F4B" w:rsidRDefault="00772F4B" w:rsidP="00122C71">
            <w:pPr>
              <w:pStyle w:val="Tabel-BrdtekstmedafstandptekstGaramond"/>
            </w:pPr>
          </w:p>
          <w:p w:rsidR="00772F4B" w:rsidRDefault="00772F4B" w:rsidP="00122C71">
            <w:pPr>
              <w:pStyle w:val="Tabel-BrdtekstmedafstandptekstGaramond"/>
            </w:pPr>
          </w:p>
          <w:p w:rsidR="00772F4B" w:rsidRDefault="00772F4B" w:rsidP="00122C71">
            <w:pPr>
              <w:pStyle w:val="Tabel-BrdtekstmedafstandptekstGaramond"/>
            </w:pPr>
          </w:p>
          <w:p w:rsidR="00772F4B" w:rsidRDefault="00772F4B" w:rsidP="00122C71">
            <w:pPr>
              <w:pStyle w:val="Tabel-BrdtekstmedafstandptekstGaramond"/>
            </w:pPr>
          </w:p>
          <w:p w:rsidR="00772F4B" w:rsidRDefault="00772F4B" w:rsidP="00122C71">
            <w:pPr>
              <w:pStyle w:val="Tabel-BrdtekstmedafstandptekstGaramond"/>
            </w:pPr>
          </w:p>
          <w:p w:rsidR="00772F4B" w:rsidRDefault="00772F4B" w:rsidP="00122C71">
            <w:pPr>
              <w:pStyle w:val="Tabel-BrdtekstmedafstandptekstGaramond"/>
            </w:pPr>
          </w:p>
          <w:p w:rsidR="00772F4B" w:rsidRDefault="00772F4B" w:rsidP="00122C71">
            <w:pPr>
              <w:pStyle w:val="Tabel-BrdtekstmedafstandptekstGaramond"/>
            </w:pPr>
          </w:p>
          <w:p w:rsidR="00772F4B" w:rsidRDefault="00772F4B" w:rsidP="00122C71">
            <w:pPr>
              <w:pStyle w:val="Tabel-BrdtekstmedafstandptekstGaramond"/>
            </w:pPr>
          </w:p>
          <w:p w:rsidR="00772F4B" w:rsidRDefault="00772F4B" w:rsidP="00122C71">
            <w:pPr>
              <w:pStyle w:val="Tabel-BrdtekstmedafstandptekstGaramond"/>
            </w:pPr>
          </w:p>
          <w:p w:rsidR="00772F4B" w:rsidRDefault="00772F4B" w:rsidP="00122C71">
            <w:pPr>
              <w:pStyle w:val="Tabel-BrdtekstmedafstandptekstGaramond"/>
            </w:pPr>
          </w:p>
          <w:p w:rsidR="00772F4B" w:rsidRDefault="00772F4B" w:rsidP="00122C71">
            <w:pPr>
              <w:pStyle w:val="Tabel-BrdtekstmedafstandptekstGaramond"/>
            </w:pPr>
          </w:p>
          <w:p w:rsidR="00772F4B" w:rsidRPr="00B5346F" w:rsidRDefault="00772F4B" w:rsidP="00772F4B">
            <w:pPr>
              <w:pStyle w:val="Tabel-BrdtekstmedafstandptekstGaramond"/>
            </w:pPr>
            <w:r>
              <w:t xml:space="preserve">Der henvises til kommentarerne til Akademikerne og </w:t>
            </w:r>
            <w:r w:rsidRPr="0012378C">
              <w:t>Danmarks Forsknings- og Innovationspol</w:t>
            </w:r>
            <w:r w:rsidRPr="0012378C">
              <w:t>i</w:t>
            </w:r>
            <w:r>
              <w:t>tiske Råd.</w:t>
            </w:r>
          </w:p>
        </w:tc>
      </w:tr>
      <w:tr w:rsidR="00224650" w:rsidRPr="00B5346F" w:rsidTr="00C87589">
        <w:tc>
          <w:tcPr>
            <w:tcW w:w="2653" w:type="dxa"/>
            <w:tcBorders>
              <w:top w:val="single" w:sz="4" w:space="0" w:color="D1C5C3" w:themeColor="accent3"/>
              <w:bottom w:val="single" w:sz="4" w:space="0" w:color="D1C5C3" w:themeColor="accent3"/>
            </w:tcBorders>
            <w:shd w:val="clear" w:color="auto" w:fill="FBF9F9"/>
          </w:tcPr>
          <w:p w:rsidR="00224650" w:rsidRDefault="00224650" w:rsidP="009A36E0">
            <w:pPr>
              <w:pStyle w:val="Tabel-BrdtekstmedafstandptekstGaramond"/>
              <w:rPr>
                <w:i/>
              </w:rPr>
            </w:pPr>
            <w:r>
              <w:rPr>
                <w:i/>
              </w:rPr>
              <w:lastRenderedPageBreak/>
              <w:t>SRF Skattefaglig Forening</w:t>
            </w:r>
          </w:p>
        </w:tc>
        <w:tc>
          <w:tcPr>
            <w:tcW w:w="194" w:type="dxa"/>
            <w:shd w:val="clear" w:color="auto" w:fill="FFFFFF" w:themeFill="background1"/>
          </w:tcPr>
          <w:p w:rsidR="00224650" w:rsidRPr="00B5346F" w:rsidRDefault="00224650" w:rsidP="00122C71"/>
        </w:tc>
        <w:tc>
          <w:tcPr>
            <w:tcW w:w="3324" w:type="dxa"/>
            <w:tcBorders>
              <w:top w:val="single" w:sz="4" w:space="0" w:color="D1C5C3" w:themeColor="accent3"/>
              <w:bottom w:val="single" w:sz="4" w:space="0" w:color="D1C5C3" w:themeColor="accent3"/>
            </w:tcBorders>
            <w:shd w:val="clear" w:color="auto" w:fill="FBF9F9"/>
          </w:tcPr>
          <w:p w:rsidR="00224650" w:rsidRPr="00B5346F" w:rsidRDefault="001537C6" w:rsidP="00FF3395">
            <w:pPr>
              <w:pStyle w:val="Tabel-BrdtekstmedafstandptekstGaramond"/>
            </w:pPr>
            <w:r w:rsidRPr="001537C6">
              <w:t>SRF Skattefaglig Forening </w:t>
            </w:r>
            <w:r>
              <w:t>har i</w:t>
            </w:r>
            <w:r>
              <w:t>k</w:t>
            </w:r>
            <w:r>
              <w:t>ke</w:t>
            </w:r>
            <w:r w:rsidRPr="001537C6">
              <w:t xml:space="preserve"> bemærkninger</w:t>
            </w:r>
            <w:r>
              <w:t>,</w:t>
            </w:r>
            <w:r w:rsidRPr="001537C6">
              <w:t xml:space="preserve"> udover en </w:t>
            </w:r>
            <w:r>
              <w:t>r</w:t>
            </w:r>
            <w:r>
              <w:t>e</w:t>
            </w:r>
            <w:r>
              <w:t>daktionel</w:t>
            </w:r>
            <w:r w:rsidRPr="001537C6">
              <w:t xml:space="preserve"> fejl i bilag 1 (lovforsl</w:t>
            </w:r>
            <w:r w:rsidRPr="001537C6">
              <w:t>a</w:t>
            </w:r>
            <w:r w:rsidRPr="001537C6">
              <w:t>get sammenholdt med gældende ret), hvor det under § 4, stk. 2, anføres</w:t>
            </w:r>
            <w:r>
              <w:t>,</w:t>
            </w:r>
            <w:r w:rsidRPr="001537C6">
              <w:t xml:space="preserve"> at hensættelser til kons</w:t>
            </w:r>
            <w:r w:rsidRPr="001537C6">
              <w:t>o</w:t>
            </w:r>
            <w:r w:rsidRPr="001537C6">
              <w:t>lidering kun vil kunne foretages på grundlag af uddelinger, der er foretaget til og med den 20. n</w:t>
            </w:r>
            <w:r w:rsidRPr="001537C6">
              <w:t>o</w:t>
            </w:r>
            <w:r w:rsidRPr="001537C6">
              <w:t>vember 2015. Det</w:t>
            </w:r>
            <w:r>
              <w:t>te</w:t>
            </w:r>
            <w:r w:rsidRPr="001537C6">
              <w:t xml:space="preserve"> skal </w:t>
            </w:r>
            <w:r>
              <w:t xml:space="preserve">rettelig </w:t>
            </w:r>
            <w:r w:rsidRPr="001537C6">
              <w:t>være den 19. november 2015</w:t>
            </w:r>
            <w:r>
              <w:t>.</w:t>
            </w:r>
          </w:p>
        </w:tc>
        <w:tc>
          <w:tcPr>
            <w:tcW w:w="209" w:type="dxa"/>
            <w:shd w:val="clear" w:color="auto" w:fill="FFFFFF" w:themeFill="background1"/>
          </w:tcPr>
          <w:p w:rsidR="00224650" w:rsidRPr="00B5346F" w:rsidRDefault="00224650" w:rsidP="00122C71"/>
        </w:tc>
        <w:tc>
          <w:tcPr>
            <w:tcW w:w="3259" w:type="dxa"/>
            <w:tcBorders>
              <w:top w:val="single" w:sz="4" w:space="0" w:color="14143C" w:themeColor="accent1"/>
              <w:bottom w:val="single" w:sz="4" w:space="0" w:color="14143C" w:themeColor="accent1"/>
            </w:tcBorders>
            <w:shd w:val="clear" w:color="auto" w:fill="D2CED8"/>
          </w:tcPr>
          <w:p w:rsidR="00224650" w:rsidRDefault="006768ED" w:rsidP="00122C71">
            <w:pPr>
              <w:pStyle w:val="Tabel-BrdtekstmedafstandptekstGaramond"/>
            </w:pPr>
            <w:r>
              <w:t>Skatteministeriet er enig i det a</w:t>
            </w:r>
            <w:r>
              <w:t>n</w:t>
            </w:r>
            <w:r>
              <w:t>førte.</w:t>
            </w:r>
          </w:p>
          <w:p w:rsidR="00B87180" w:rsidRDefault="00B87180" w:rsidP="00122C71">
            <w:pPr>
              <w:pStyle w:val="Tabel-BrdtekstmedafstandptekstGaramond"/>
            </w:pPr>
          </w:p>
          <w:p w:rsidR="00B87180" w:rsidRDefault="00B87180" w:rsidP="000A2D31">
            <w:pPr>
              <w:pStyle w:val="Tabel-BrdtekstmedafstandptekstGaramond"/>
            </w:pPr>
            <w:r>
              <w:t xml:space="preserve">Det bemærkes i øvrigt, at </w:t>
            </w:r>
            <w:r w:rsidR="00B505A8">
              <w:t>reg</w:t>
            </w:r>
            <w:r w:rsidR="00B505A8">
              <w:t>e</w:t>
            </w:r>
            <w:r w:rsidR="00B505A8">
              <w:t xml:space="preserve">ringen </w:t>
            </w:r>
            <w:r>
              <w:t>til 2. behandlingen af lo</w:t>
            </w:r>
            <w:r>
              <w:t>v</w:t>
            </w:r>
            <w:r>
              <w:t>forslaget vil stille</w:t>
            </w:r>
            <w:r w:rsidR="00CF37D2">
              <w:t xml:space="preserve"> et</w:t>
            </w:r>
            <w:r>
              <w:t xml:space="preserve"> ændringsfo</w:t>
            </w:r>
            <w:r>
              <w:t>r</w:t>
            </w:r>
            <w:r>
              <w:t xml:space="preserve">slag </w:t>
            </w:r>
            <w:r w:rsidRPr="002963C0">
              <w:t>vedrørende forslaget til virkningstidspunkt for ophæve</w:t>
            </w:r>
            <w:r w:rsidRPr="002963C0">
              <w:t>l</w:t>
            </w:r>
            <w:r w:rsidRPr="002963C0">
              <w:t>sen af konsolideringsregl</w:t>
            </w:r>
            <w:r w:rsidR="000A2D31">
              <w:t>en.</w:t>
            </w:r>
          </w:p>
          <w:p w:rsidR="000A2D31" w:rsidRDefault="000A2D31" w:rsidP="000A2D31">
            <w:pPr>
              <w:pStyle w:val="Tabel-BrdtekstmedafstandptekstGaramond"/>
            </w:pPr>
          </w:p>
          <w:p w:rsidR="000A2D31" w:rsidRPr="00B5346F" w:rsidRDefault="000A2D31" w:rsidP="000A2D31">
            <w:pPr>
              <w:pStyle w:val="Tabel-BrdtekstmedafstandptekstGaramond"/>
            </w:pPr>
            <w:r>
              <w:t>Der henvises til kommentaren til Carlsbergfondet.</w:t>
            </w:r>
          </w:p>
        </w:tc>
      </w:tr>
      <w:tr w:rsidR="00224650" w:rsidRPr="00B5346F" w:rsidTr="00C87589">
        <w:tc>
          <w:tcPr>
            <w:tcW w:w="2653" w:type="dxa"/>
            <w:tcBorders>
              <w:top w:val="single" w:sz="4" w:space="0" w:color="D1C5C3" w:themeColor="accent3"/>
              <w:bottom w:val="single" w:sz="4" w:space="0" w:color="D1C5C3" w:themeColor="accent3"/>
            </w:tcBorders>
            <w:shd w:val="clear" w:color="auto" w:fill="FBF9F9"/>
          </w:tcPr>
          <w:p w:rsidR="00224650" w:rsidRDefault="00271115" w:rsidP="009A36E0">
            <w:pPr>
              <w:pStyle w:val="Tabel-BrdtekstmedafstandptekstGaramond"/>
              <w:rPr>
                <w:i/>
              </w:rPr>
            </w:pPr>
            <w:r>
              <w:rPr>
                <w:i/>
              </w:rPr>
              <w:t>Teatrenes Interesseorganisat</w:t>
            </w:r>
            <w:r>
              <w:rPr>
                <w:i/>
              </w:rPr>
              <w:t>i</w:t>
            </w:r>
            <w:r>
              <w:rPr>
                <w:i/>
              </w:rPr>
              <w:t>on</w:t>
            </w:r>
            <w:r w:rsidR="00456371">
              <w:rPr>
                <w:i/>
              </w:rPr>
              <w:t>, TIO</w:t>
            </w:r>
          </w:p>
        </w:tc>
        <w:tc>
          <w:tcPr>
            <w:tcW w:w="194" w:type="dxa"/>
            <w:shd w:val="clear" w:color="auto" w:fill="FFFFFF" w:themeFill="background1"/>
          </w:tcPr>
          <w:p w:rsidR="00224650" w:rsidRPr="00B5346F" w:rsidRDefault="00224650" w:rsidP="00122C71"/>
        </w:tc>
        <w:tc>
          <w:tcPr>
            <w:tcW w:w="3324" w:type="dxa"/>
            <w:tcBorders>
              <w:top w:val="single" w:sz="4" w:space="0" w:color="D1C5C3" w:themeColor="accent3"/>
              <w:bottom w:val="single" w:sz="4" w:space="0" w:color="D1C5C3" w:themeColor="accent3"/>
            </w:tcBorders>
            <w:shd w:val="clear" w:color="auto" w:fill="FBF9F9"/>
          </w:tcPr>
          <w:p w:rsidR="00FF3395" w:rsidRDefault="0063034C" w:rsidP="00FF3395">
            <w:pPr>
              <w:pStyle w:val="Tabel-BrdtekstmedafstandptekstGaramond"/>
            </w:pPr>
            <w:r>
              <w:t>TIO anfører, at de</w:t>
            </w:r>
            <w:r w:rsidRPr="00FF3395">
              <w:t xml:space="preserve"> </w:t>
            </w:r>
            <w:r w:rsidR="00FF3395" w:rsidRPr="00FF3395">
              <w:t>foreslåede lovændringer er af stor sa</w:t>
            </w:r>
            <w:r w:rsidR="00FF3395" w:rsidRPr="00FF3395">
              <w:t>m</w:t>
            </w:r>
            <w:r w:rsidR="00FF3395" w:rsidRPr="00FF3395">
              <w:t>fundsmæssig betydning</w:t>
            </w:r>
            <w:r>
              <w:t>, og at det af</w:t>
            </w:r>
            <w:r w:rsidR="00FF3395" w:rsidRPr="00FF3395">
              <w:t xml:space="preserve"> den grund er bekymrende, at forslaget bliver frem</w:t>
            </w:r>
            <w:r w:rsidR="00FF3395">
              <w:t>sat</w:t>
            </w:r>
            <w:r w:rsidR="00FF3395" w:rsidRPr="00FF3395">
              <w:t xml:space="preserve"> uden fo</w:t>
            </w:r>
            <w:r w:rsidR="00FF3395" w:rsidRPr="00FF3395">
              <w:t>r</w:t>
            </w:r>
            <w:r w:rsidR="00FF3395" w:rsidRPr="00FF3395">
              <w:t xml:space="preserve">udgående offentlig debat om konsekvenserne for modtagerne af fondenes </w:t>
            </w:r>
            <w:r w:rsidR="00FF3395">
              <w:t>almennyttige og a</w:t>
            </w:r>
            <w:r w:rsidR="00FF3395">
              <w:t>l</w:t>
            </w:r>
            <w:r w:rsidR="00FF3395">
              <w:t xml:space="preserve">menvelgørende </w:t>
            </w:r>
            <w:r w:rsidR="00FF3395" w:rsidRPr="00FF3395">
              <w:t>uddelin</w:t>
            </w:r>
            <w:r w:rsidR="00FF3395">
              <w:t>ger.</w:t>
            </w:r>
            <w:r w:rsidR="00FF3395" w:rsidRPr="00FF3395">
              <w:t xml:space="preserve"> Dertil kommer de manglende beregni</w:t>
            </w:r>
            <w:r w:rsidR="00FF3395" w:rsidRPr="00FF3395">
              <w:t>n</w:t>
            </w:r>
            <w:r w:rsidR="00FF3395" w:rsidRPr="00FF3395">
              <w:t xml:space="preserve">ger af, hvilken konsekvens de </w:t>
            </w:r>
            <w:r w:rsidR="00FF3395" w:rsidRPr="00FF3395">
              <w:lastRenderedPageBreak/>
              <w:t>forventede reducerede invest</w:t>
            </w:r>
            <w:r w:rsidR="00FF3395" w:rsidRPr="00FF3395">
              <w:t>e</w:t>
            </w:r>
            <w:r w:rsidR="00FF3395" w:rsidRPr="00FF3395">
              <w:t>ringer fra fondene vil få for væ</w:t>
            </w:r>
            <w:r w:rsidR="00FF3395" w:rsidRPr="00FF3395">
              <w:t>k</w:t>
            </w:r>
            <w:r w:rsidR="00FF3395" w:rsidRPr="00FF3395">
              <w:t>sten, og det deraf afledte færre antal opgaver til det private e</w:t>
            </w:r>
            <w:r w:rsidR="00FF3395" w:rsidRPr="00FF3395">
              <w:t>r</w:t>
            </w:r>
            <w:r w:rsidR="00FF3395" w:rsidRPr="00FF3395">
              <w:t>hvervsliv og mistede arbejdspla</w:t>
            </w:r>
            <w:r w:rsidR="00FF3395" w:rsidRPr="00FF3395">
              <w:t>d</w:t>
            </w:r>
            <w:r w:rsidR="00FF3395" w:rsidRPr="00FF3395">
              <w:t>ser inde</w:t>
            </w:r>
            <w:r w:rsidR="00FF3395">
              <w:t xml:space="preserve">n </w:t>
            </w:r>
            <w:r w:rsidR="00FF3395" w:rsidRPr="00FF3395">
              <w:t xml:space="preserve">for de berørte fag. </w:t>
            </w:r>
          </w:p>
          <w:p w:rsidR="00FF3395" w:rsidRPr="00FF3395" w:rsidRDefault="00FF3395" w:rsidP="00FF3395">
            <w:pPr>
              <w:pStyle w:val="Tabel-BrdtekstmedafstandptekstGaramond"/>
            </w:pPr>
          </w:p>
          <w:p w:rsidR="00FF3395" w:rsidRDefault="0063034C" w:rsidP="00FF3395">
            <w:pPr>
              <w:pStyle w:val="Tabel-BrdtekstmedafstandptekstGaramond"/>
            </w:pPr>
            <w:r>
              <w:t>TIO anfører, at de</w:t>
            </w:r>
            <w:r w:rsidRPr="00FF3395">
              <w:t xml:space="preserve"> </w:t>
            </w:r>
            <w:r w:rsidR="00FF3395" w:rsidRPr="00FF3395">
              <w:t>foreslåede ændringer vil have fatale kons</w:t>
            </w:r>
            <w:r w:rsidR="00FF3395" w:rsidRPr="00FF3395">
              <w:t>e</w:t>
            </w:r>
            <w:r w:rsidR="00FF3395" w:rsidRPr="00FF3395">
              <w:t>kvenser for kulturlivet i Da</w:t>
            </w:r>
            <w:r w:rsidR="00FF3395" w:rsidRPr="00FF3395">
              <w:t>n</w:t>
            </w:r>
            <w:r w:rsidR="00FF3395" w:rsidRPr="00FF3395">
              <w:t>mark, herunder de producerende teatre. Derfor er det problem</w:t>
            </w:r>
            <w:r w:rsidR="00FF3395" w:rsidRPr="00FF3395">
              <w:t>a</w:t>
            </w:r>
            <w:r w:rsidR="00FF3395" w:rsidRPr="00FF3395">
              <w:t xml:space="preserve">tisk, at </w:t>
            </w:r>
            <w:r w:rsidR="00975868">
              <w:t xml:space="preserve">de berørte </w:t>
            </w:r>
            <w:r w:rsidR="00FF3395" w:rsidRPr="00FF3395">
              <w:t>organisationer, råd og foreninger</w:t>
            </w:r>
            <w:r w:rsidR="00975868">
              <w:t xml:space="preserve"> </w:t>
            </w:r>
            <w:r w:rsidR="00FF3395" w:rsidRPr="00FF3395">
              <w:t>ikke gives en rimelig høringsfrist</w:t>
            </w:r>
            <w:r w:rsidR="00975868">
              <w:t>.</w:t>
            </w:r>
            <w:r w:rsidR="00FF3395" w:rsidRPr="00FF3395">
              <w:t xml:space="preserve"> Korte h</w:t>
            </w:r>
            <w:r w:rsidR="00FF3395" w:rsidRPr="00FF3395">
              <w:t>ø</w:t>
            </w:r>
            <w:r w:rsidR="00FF3395" w:rsidRPr="00FF3395">
              <w:t xml:space="preserve">ringsfrister ødelægger hele ideen med at have høringsprocesser og giver en ringere lovkvalitet. </w:t>
            </w:r>
          </w:p>
          <w:p w:rsidR="00AA03FE" w:rsidRPr="00FF3395" w:rsidRDefault="00AA03FE" w:rsidP="00FF3395">
            <w:pPr>
              <w:pStyle w:val="Tabel-BrdtekstmedafstandptekstGaramond"/>
            </w:pPr>
          </w:p>
          <w:p w:rsidR="00CB6506" w:rsidRDefault="00975868" w:rsidP="00CB6506">
            <w:pPr>
              <w:pStyle w:val="Tabel-BrdtekstmedafstandptekstGaramond"/>
            </w:pPr>
            <w:r>
              <w:t>Dette</w:t>
            </w:r>
            <w:r w:rsidR="00FF3395" w:rsidRPr="00FF3395">
              <w:t xml:space="preserve"> underbygges af den store usikkerhed, der ifølge dagspre</w:t>
            </w:r>
            <w:r w:rsidR="00FF3395" w:rsidRPr="00FF3395">
              <w:t>s</w:t>
            </w:r>
            <w:r w:rsidR="00FF3395" w:rsidRPr="00FF3395">
              <w:t>sen er om</w:t>
            </w:r>
            <w:r>
              <w:t>,</w:t>
            </w:r>
            <w:r w:rsidR="00FF3395" w:rsidRPr="00FF3395">
              <w:t xml:space="preserve"> hvor mange ekstra skatteindtægter fondsindgrebet reelt vil give. </w:t>
            </w:r>
          </w:p>
          <w:p w:rsidR="00CB6506" w:rsidRDefault="00CB6506" w:rsidP="00CB6506">
            <w:pPr>
              <w:pStyle w:val="Tabel-BrdtekstmedafstandptekstGaramond"/>
            </w:pPr>
          </w:p>
          <w:p w:rsidR="00CB6506" w:rsidRDefault="00FF3395" w:rsidP="00CB6506">
            <w:pPr>
              <w:pStyle w:val="Tabel-BrdtekstmedafstandptekstGaramond"/>
            </w:pPr>
            <w:r w:rsidRPr="00FF3395">
              <w:t xml:space="preserve">Fonde og eksperter vurderer, at </w:t>
            </w:r>
            <w:r w:rsidR="00CB6506">
              <w:t>de foreslåede ændringer</w:t>
            </w:r>
            <w:r w:rsidRPr="00FF3395">
              <w:t xml:space="preserve"> vil få mærkbare konsekvenser for de økonomiske bidrag, som alme</w:t>
            </w:r>
            <w:r w:rsidRPr="00FF3395">
              <w:t>n</w:t>
            </w:r>
            <w:r w:rsidRPr="00FF3395">
              <w:t xml:space="preserve">nyttige fonde tildeler kulturen. </w:t>
            </w:r>
            <w:r w:rsidR="00CB6506">
              <w:t xml:space="preserve">TIO henviser i den forbindelse til en udtalelse fra </w:t>
            </w:r>
            <w:r w:rsidRPr="00FF3395">
              <w:t xml:space="preserve">professor og forskningsleder </w:t>
            </w:r>
            <w:r w:rsidR="00CB6506">
              <w:t>ved</w:t>
            </w:r>
            <w:r w:rsidRPr="00FF3395">
              <w:t xml:space="preserve"> Center for Civilsamfundsstudier ved CBS</w:t>
            </w:r>
            <w:r w:rsidR="00CB6506">
              <w:t>,</w:t>
            </w:r>
            <w:r w:rsidR="00CB6506" w:rsidRPr="00FF3395">
              <w:t xml:space="preserve"> Anker Brink Lund</w:t>
            </w:r>
            <w:r w:rsidR="00CB6506">
              <w:t>, hvorefter fondenes uddelinger vil blive</w:t>
            </w:r>
            <w:r w:rsidRPr="00FF3395">
              <w:t xml:space="preserve"> r</w:t>
            </w:r>
            <w:r w:rsidRPr="00FF3395">
              <w:t>e</w:t>
            </w:r>
            <w:r w:rsidRPr="00FF3395">
              <w:t>ducere</w:t>
            </w:r>
            <w:r w:rsidR="00CB6506">
              <w:t>t</w:t>
            </w:r>
            <w:r w:rsidRPr="00FF3395">
              <w:t xml:space="preserve"> med mindst 20 pct., </w:t>
            </w:r>
            <w:r w:rsidR="00CB6506">
              <w:t>hvis de foreslåede ændringer vedtages</w:t>
            </w:r>
            <w:r w:rsidRPr="00FF3395">
              <w:t>.</w:t>
            </w:r>
          </w:p>
          <w:p w:rsidR="00CB6506" w:rsidRPr="00CB6506" w:rsidRDefault="00CB6506" w:rsidP="00CB6506">
            <w:pPr>
              <w:pStyle w:val="Tabel-BrdtekstmedafstandptekstGaramond"/>
            </w:pPr>
          </w:p>
          <w:p w:rsidR="00CB6506" w:rsidRDefault="00DB0C92" w:rsidP="00CB6506">
            <w:pPr>
              <w:pStyle w:val="Tabel-BrdtekstmedafstandptekstGaramond"/>
            </w:pPr>
            <w:r>
              <w:t xml:space="preserve">Der henvises desuden til, at </w:t>
            </w:r>
            <w:r w:rsidR="00CB6506" w:rsidRPr="00CB6506">
              <w:t>Pol</w:t>
            </w:r>
            <w:r w:rsidR="00CB6506" w:rsidRPr="00CB6506">
              <w:t>i</w:t>
            </w:r>
            <w:r w:rsidR="00CB6506" w:rsidRPr="00CB6506">
              <w:t>tiken Research sidste år</w:t>
            </w:r>
            <w:r>
              <w:t xml:space="preserve"> beregn</w:t>
            </w:r>
            <w:r>
              <w:t>e</w:t>
            </w:r>
            <w:r>
              <w:t>de</w:t>
            </w:r>
            <w:r w:rsidR="00CB6506" w:rsidRPr="00CB6506">
              <w:t>, at private fonde i 2012 don</w:t>
            </w:r>
            <w:r w:rsidR="00CB6506" w:rsidRPr="00CB6506">
              <w:t>e</w:t>
            </w:r>
            <w:r w:rsidR="00CB6506" w:rsidRPr="00CB6506">
              <w:t xml:space="preserve">rede ca. 1,5 mia. kr. til det danske kunst- og kulturliv, mens Statens </w:t>
            </w:r>
            <w:r w:rsidR="00CB6506" w:rsidRPr="00CB6506">
              <w:lastRenderedPageBreak/>
              <w:t xml:space="preserve">Kunstfond samme år gav 500 mio. kr. (Politiken, 25. november 2015). </w:t>
            </w:r>
          </w:p>
          <w:p w:rsidR="00DB0C92" w:rsidRPr="00CB6506" w:rsidRDefault="00DB0C92" w:rsidP="00CB6506">
            <w:pPr>
              <w:pStyle w:val="Tabel-BrdtekstmedafstandptekstGaramond"/>
            </w:pPr>
          </w:p>
          <w:p w:rsidR="00CB6506" w:rsidRPr="00CB6506" w:rsidRDefault="00CB6506" w:rsidP="00CB6506">
            <w:pPr>
              <w:pStyle w:val="Tabel-BrdtekstmedafstandptekstGaramond"/>
            </w:pPr>
            <w:r w:rsidRPr="00CB6506">
              <w:t>Gennemføres lovændringen, vil det altså få mærkbare konsekve</w:t>
            </w:r>
            <w:r w:rsidRPr="00CB6506">
              <w:t>n</w:t>
            </w:r>
            <w:r w:rsidRPr="00CB6506">
              <w:t>ser for et kulturliv, der netop er blevet pålagt 2-procents besp</w:t>
            </w:r>
            <w:r w:rsidRPr="00CB6506">
              <w:t>a</w:t>
            </w:r>
            <w:r w:rsidRPr="00CB6506">
              <w:t>relser på de statslige bevillinger over de kommende fire år samt</w:t>
            </w:r>
            <w:r w:rsidRPr="00CB6506">
              <w:t>i</w:t>
            </w:r>
            <w:r w:rsidRPr="00CB6506">
              <w:t>dig med, at Statens Kunstfond også skal spare, hvilket direkte rammer midlerne til kunsten og de udøvende kunstnere. Fra pol</w:t>
            </w:r>
            <w:r w:rsidRPr="00CB6506">
              <w:t>i</w:t>
            </w:r>
            <w:r w:rsidRPr="00CB6506">
              <w:t>tisk hold har man netop henvist kulturlivet til at søge de private fonde for at dække indkomstt</w:t>
            </w:r>
            <w:r w:rsidRPr="00CB6506">
              <w:t>a</w:t>
            </w:r>
            <w:r w:rsidRPr="00CB6506">
              <w:t xml:space="preserve">bet som følge af besparelserne. </w:t>
            </w:r>
          </w:p>
          <w:p w:rsidR="00CB6506" w:rsidRDefault="00CB6506" w:rsidP="00CB6506">
            <w:pPr>
              <w:pStyle w:val="Tabel-BrdtekstmedafstandptekstGaramond"/>
            </w:pPr>
            <w:r w:rsidRPr="00CB6506">
              <w:t>Kulturlivet bliver med finansl</w:t>
            </w:r>
            <w:r w:rsidRPr="00CB6506">
              <w:t>o</w:t>
            </w:r>
            <w:r w:rsidRPr="00CB6506">
              <w:t xml:space="preserve">ven altså ramt dobbelt. </w:t>
            </w:r>
          </w:p>
          <w:p w:rsidR="00DB0C92" w:rsidRPr="00CB6506" w:rsidRDefault="00DB0C92" w:rsidP="00CB6506">
            <w:pPr>
              <w:pStyle w:val="Tabel-BrdtekstmedafstandptekstGaramond"/>
            </w:pPr>
          </w:p>
          <w:p w:rsidR="00CB6506" w:rsidRDefault="0063034C" w:rsidP="00CB6506">
            <w:pPr>
              <w:pStyle w:val="Tabel-BrdtekstmedafstandptekstGaramond"/>
            </w:pPr>
            <w:r>
              <w:t>TIO anfører, at k</w:t>
            </w:r>
            <w:r w:rsidRPr="00CB6506">
              <w:t xml:space="preserve">ulturlivet </w:t>
            </w:r>
            <w:r w:rsidR="00CB6506" w:rsidRPr="00CB6506">
              <w:t>i fo</w:t>
            </w:r>
            <w:r w:rsidR="00CB6506" w:rsidRPr="00CB6506">
              <w:t>r</w:t>
            </w:r>
            <w:r w:rsidR="00CB6506" w:rsidRPr="00CB6506">
              <w:t>vejen</w:t>
            </w:r>
            <w:r>
              <w:t xml:space="preserve"> </w:t>
            </w:r>
            <w:r w:rsidRPr="00CB6506">
              <w:t>arbejder</w:t>
            </w:r>
            <w:r w:rsidR="00CB6506" w:rsidRPr="00CB6506">
              <w:t xml:space="preserve"> med meget smalle budgetter. Størstedelen af udgi</w:t>
            </w:r>
            <w:r w:rsidR="00CB6506" w:rsidRPr="00CB6506">
              <w:t>f</w:t>
            </w:r>
            <w:r w:rsidR="00CB6506" w:rsidRPr="00CB6506">
              <w:t>terne på teatrenes budgetter er løn til kunstnere f.eks. skuespill</w:t>
            </w:r>
            <w:r w:rsidR="00CB6506" w:rsidRPr="00CB6506">
              <w:t>e</w:t>
            </w:r>
            <w:r w:rsidR="00CB6506" w:rsidRPr="00CB6506">
              <w:t>re og musikere. Sammen med overenskomstmæssige lønsti</w:t>
            </w:r>
            <w:r w:rsidR="00CB6506" w:rsidRPr="00CB6506">
              <w:t>g</w:t>
            </w:r>
            <w:r w:rsidR="00CB6506" w:rsidRPr="00CB6506">
              <w:t>ninger rammer statens påtænkte besparelser og fondsindgrebet kulturlivet meget hårdt til stor skade for det danske samfund.</w:t>
            </w:r>
          </w:p>
          <w:p w:rsidR="00DB0C92" w:rsidRDefault="00DB0C92" w:rsidP="00CB6506">
            <w:pPr>
              <w:pStyle w:val="Tabel-BrdtekstmedafstandptekstGaramond"/>
            </w:pPr>
          </w:p>
          <w:p w:rsidR="00DB0C92" w:rsidRDefault="00DB0C92" w:rsidP="00DB0C92">
            <w:pPr>
              <w:pStyle w:val="Tabel-BrdtekstmedafstandptekstGaramond"/>
            </w:pPr>
            <w:r w:rsidRPr="00DB0C92">
              <w:t>Fondenes formål er, at midlerne skal gives til gavn for folket, ku</w:t>
            </w:r>
            <w:r w:rsidRPr="00DB0C92">
              <w:t>n</w:t>
            </w:r>
            <w:r w:rsidRPr="00DB0C92">
              <w:t>sten og kulturlivet. Det er gav</w:t>
            </w:r>
            <w:r w:rsidRPr="00DB0C92">
              <w:t>n</w:t>
            </w:r>
            <w:r w:rsidRPr="00DB0C92">
              <w:t>ligt for et levende og mangfoldigt kulturliv, at der findes støtteg</w:t>
            </w:r>
            <w:r w:rsidRPr="00DB0C92">
              <w:t>i</w:t>
            </w:r>
            <w:r w:rsidRPr="00DB0C92">
              <w:t>vende instanser, som ikke er a</w:t>
            </w:r>
            <w:r w:rsidRPr="00DB0C92">
              <w:t>f</w:t>
            </w:r>
            <w:r w:rsidRPr="00DB0C92">
              <w:t>hængige af politiske dagsordener og politisk indflydelse. Dem har man hidtil prioriteret at give gode vilkår, fordi det kommer sa</w:t>
            </w:r>
            <w:r w:rsidRPr="00DB0C92">
              <w:t>m</w:t>
            </w:r>
            <w:r w:rsidRPr="00DB0C92">
              <w:t>fundet til gode, ikke blot kult</w:t>
            </w:r>
            <w:r w:rsidRPr="00DB0C92">
              <w:t>u</w:t>
            </w:r>
            <w:r w:rsidRPr="00DB0C92">
              <w:lastRenderedPageBreak/>
              <w:t xml:space="preserve">ren, men også det sociale område og forskningen. </w:t>
            </w:r>
          </w:p>
          <w:p w:rsidR="00DB0C92" w:rsidRPr="00DB0C92" w:rsidRDefault="00DB0C92" w:rsidP="00DB0C92">
            <w:pPr>
              <w:pStyle w:val="Tabel-BrdtekstmedafstandptekstGaramond"/>
            </w:pPr>
          </w:p>
          <w:p w:rsidR="00DB0C92" w:rsidRDefault="0063034C" w:rsidP="00DB0C92">
            <w:pPr>
              <w:pStyle w:val="Tabel-BrdtekstmedafstandptekstGaramond"/>
            </w:pPr>
            <w:r>
              <w:t>TIO anfører, at f</w:t>
            </w:r>
            <w:r w:rsidRPr="00DB0C92">
              <w:t xml:space="preserve">ondsindgrebet </w:t>
            </w:r>
            <w:r w:rsidR="00DB0C92" w:rsidRPr="00DB0C92">
              <w:t>vil betyde, at der vil tilfalde ku</w:t>
            </w:r>
            <w:r w:rsidR="00DB0C92" w:rsidRPr="00DB0C92">
              <w:t>n</w:t>
            </w:r>
            <w:r w:rsidR="00DB0C92" w:rsidRPr="00DB0C92">
              <w:t xml:space="preserve">sten og kulturen væsentligt færre midler, hvilket med overvejende sandsynlighed </w:t>
            </w:r>
            <w:r w:rsidR="00DB0C92">
              <w:t xml:space="preserve">vil </w:t>
            </w:r>
            <w:r w:rsidR="00DB0C92" w:rsidRPr="00DB0C92">
              <w:t>resultere i færre udviklingsinitiativer, et udsultet talent- og vækstlag og reduceret kunstnerisk mangfoldighed på a</w:t>
            </w:r>
            <w:r w:rsidR="00DB0C92" w:rsidRPr="00DB0C92">
              <w:t>l</w:t>
            </w:r>
            <w:r w:rsidR="00DB0C92" w:rsidRPr="00DB0C92">
              <w:t>le niveauer og på tværs af genrer samt færre forestillinger og a</w:t>
            </w:r>
            <w:r w:rsidR="00DB0C92" w:rsidRPr="00DB0C92">
              <w:t>r</w:t>
            </w:r>
            <w:r w:rsidR="00DB0C92" w:rsidRPr="00DB0C92">
              <w:t xml:space="preserve">rangementer. </w:t>
            </w:r>
          </w:p>
          <w:p w:rsidR="00DB0C92" w:rsidRPr="00DB0C92" w:rsidRDefault="00DB0C92" w:rsidP="00DB0C92">
            <w:pPr>
              <w:pStyle w:val="Tabel-BrdtekstmedafstandptekstGaramond"/>
            </w:pPr>
          </w:p>
          <w:p w:rsidR="00DB0C92" w:rsidRPr="00B5346F" w:rsidRDefault="00DB0C92" w:rsidP="00DB0C92">
            <w:pPr>
              <w:pStyle w:val="Tabel-BrdtekstmedafstandptekstGaramond"/>
            </w:pPr>
            <w:r>
              <w:t>TIO anmoder på den baggrund om</w:t>
            </w:r>
            <w:r w:rsidRPr="00DB0C92">
              <w:t>, at partierne bag lovforslaget vil se nærmere på de langsigtede konsekvenser af fondsindgrebet, der allerede nu vurderes at være langt mere omfattende end fo</w:t>
            </w:r>
            <w:r w:rsidRPr="00DB0C92">
              <w:t>r</w:t>
            </w:r>
            <w:r w:rsidRPr="00DB0C92">
              <w:t>ventet, og lave aftalen om til samfundets bedste.</w:t>
            </w:r>
          </w:p>
        </w:tc>
        <w:tc>
          <w:tcPr>
            <w:tcW w:w="209" w:type="dxa"/>
            <w:shd w:val="clear" w:color="auto" w:fill="FFFFFF" w:themeFill="background1"/>
          </w:tcPr>
          <w:p w:rsidR="00224650" w:rsidRPr="00B5346F" w:rsidRDefault="00224650" w:rsidP="00122C71"/>
        </w:tc>
        <w:tc>
          <w:tcPr>
            <w:tcW w:w="3259" w:type="dxa"/>
            <w:tcBorders>
              <w:top w:val="single" w:sz="4" w:space="0" w:color="14143C" w:themeColor="accent1"/>
              <w:bottom w:val="single" w:sz="4" w:space="0" w:color="14143C" w:themeColor="accent1"/>
            </w:tcBorders>
            <w:shd w:val="clear" w:color="auto" w:fill="D2CED8"/>
          </w:tcPr>
          <w:p w:rsidR="00224650" w:rsidRDefault="00A01B51" w:rsidP="00122C71">
            <w:pPr>
              <w:pStyle w:val="Tabel-BrdtekstmedafstandptekstGaramond"/>
            </w:pPr>
            <w:r>
              <w:t xml:space="preserve">Der henvises til kommentarerne til Akademikerne og </w:t>
            </w:r>
            <w:r w:rsidRPr="0012378C">
              <w:t>Danmarks Forsknings- og Innovationspol</w:t>
            </w:r>
            <w:r w:rsidRPr="0012378C">
              <w:t>i</w:t>
            </w:r>
            <w:r>
              <w:t>tiske Råd.</w:t>
            </w: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B63A8B" w:rsidRDefault="00B63A8B" w:rsidP="00122C71">
            <w:pPr>
              <w:pStyle w:val="Tabel-BrdtekstmedafstandptekstGaramond"/>
            </w:pPr>
          </w:p>
          <w:p w:rsidR="00DA47FD" w:rsidRDefault="00DA47FD" w:rsidP="00122C71">
            <w:pPr>
              <w:pStyle w:val="Tabel-BrdtekstmedafstandptekstGaramond"/>
            </w:pPr>
            <w:r>
              <w:t xml:space="preserve">Der henvises til kommentaren til </w:t>
            </w:r>
            <w:r w:rsidRPr="001465F2">
              <w:t>Deloitte, EY, KPMG og PwC</w:t>
            </w:r>
            <w:r>
              <w:t>.</w:t>
            </w: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Default="00DA47FD" w:rsidP="00122C71">
            <w:pPr>
              <w:pStyle w:val="Tabel-BrdtekstmedafstandptekstGaramond"/>
            </w:pPr>
          </w:p>
          <w:p w:rsidR="00DA47FD" w:rsidRPr="00B5346F" w:rsidRDefault="00DA47FD" w:rsidP="00122C71">
            <w:pPr>
              <w:pStyle w:val="Tabel-BrdtekstmedafstandptekstGaramond"/>
            </w:pPr>
          </w:p>
        </w:tc>
      </w:tr>
      <w:tr w:rsidR="009E6C35" w:rsidRPr="00B5346F" w:rsidTr="00C87589">
        <w:tc>
          <w:tcPr>
            <w:tcW w:w="2653" w:type="dxa"/>
            <w:tcBorders>
              <w:top w:val="single" w:sz="4" w:space="0" w:color="D1C5C3" w:themeColor="accent3"/>
              <w:bottom w:val="single" w:sz="4" w:space="0" w:color="D1C5C3" w:themeColor="accent3"/>
            </w:tcBorders>
            <w:shd w:val="clear" w:color="auto" w:fill="FBF9F9"/>
          </w:tcPr>
          <w:p w:rsidR="009E6C35" w:rsidRDefault="009E6C35" w:rsidP="009A36E0">
            <w:pPr>
              <w:pStyle w:val="Tabel-BrdtekstmedafstandptekstGaramond"/>
              <w:rPr>
                <w:i/>
              </w:rPr>
            </w:pPr>
            <w:r>
              <w:rPr>
                <w:i/>
              </w:rPr>
              <w:lastRenderedPageBreak/>
              <w:t>Wilhelm Hansen Fonden</w:t>
            </w:r>
          </w:p>
        </w:tc>
        <w:tc>
          <w:tcPr>
            <w:tcW w:w="194" w:type="dxa"/>
            <w:shd w:val="clear" w:color="auto" w:fill="FFFFFF" w:themeFill="background1"/>
          </w:tcPr>
          <w:p w:rsidR="009E6C35" w:rsidRPr="00B5346F" w:rsidRDefault="009E6C35" w:rsidP="00122C71"/>
        </w:tc>
        <w:tc>
          <w:tcPr>
            <w:tcW w:w="3324" w:type="dxa"/>
            <w:tcBorders>
              <w:top w:val="single" w:sz="4" w:space="0" w:color="D1C5C3" w:themeColor="accent3"/>
              <w:bottom w:val="single" w:sz="4" w:space="0" w:color="D1C5C3" w:themeColor="accent3"/>
            </w:tcBorders>
            <w:shd w:val="clear" w:color="auto" w:fill="FBF9F9"/>
          </w:tcPr>
          <w:p w:rsidR="009E6C35" w:rsidRPr="00FF3395" w:rsidRDefault="009E6C35" w:rsidP="00FF3395">
            <w:pPr>
              <w:pStyle w:val="Tabel-BrdtekstmedafstandptekstGaramond"/>
            </w:pPr>
            <w:r>
              <w:t>Wilhelm Hansen Fonden kan i det hele tilslutte sig det høring</w:t>
            </w:r>
            <w:r>
              <w:t>s</w:t>
            </w:r>
            <w:r>
              <w:t xml:space="preserve">svar, der er afgivet af </w:t>
            </w:r>
            <w:r w:rsidR="00A15FC0" w:rsidRPr="00A15FC0">
              <w:t>Novo No</w:t>
            </w:r>
            <w:r w:rsidR="00A15FC0" w:rsidRPr="00A15FC0">
              <w:t>r</w:t>
            </w:r>
            <w:r w:rsidR="00A15FC0">
              <w:t>disk Fonden, Villum Fonden og Lundbeckfon</w:t>
            </w:r>
            <w:r w:rsidR="00A15FC0" w:rsidRPr="00A15FC0">
              <w:t>den</w:t>
            </w:r>
            <w:r w:rsidR="00A15FC0">
              <w:t xml:space="preserve"> på egne og 26 andre fondes vegne.</w:t>
            </w:r>
          </w:p>
        </w:tc>
        <w:tc>
          <w:tcPr>
            <w:tcW w:w="209" w:type="dxa"/>
            <w:shd w:val="clear" w:color="auto" w:fill="FFFFFF" w:themeFill="background1"/>
          </w:tcPr>
          <w:p w:rsidR="009E6C35" w:rsidRPr="00B5346F" w:rsidRDefault="009E6C35" w:rsidP="00122C71"/>
        </w:tc>
        <w:tc>
          <w:tcPr>
            <w:tcW w:w="3259" w:type="dxa"/>
            <w:tcBorders>
              <w:top w:val="single" w:sz="4" w:space="0" w:color="14143C" w:themeColor="accent1"/>
              <w:bottom w:val="single" w:sz="4" w:space="0" w:color="14143C" w:themeColor="accent1"/>
            </w:tcBorders>
            <w:shd w:val="clear" w:color="auto" w:fill="D2CED8"/>
          </w:tcPr>
          <w:p w:rsidR="009E6C35" w:rsidRDefault="00A15FC0" w:rsidP="00122C71">
            <w:pPr>
              <w:pStyle w:val="Tabel-BrdtekstmedafstandptekstGaramond"/>
            </w:pPr>
            <w:r>
              <w:t xml:space="preserve">Der henvises til kommentaren til </w:t>
            </w:r>
            <w:r w:rsidRPr="00A15FC0">
              <w:t>Novo Nordisk Fonden, Villum Fonden og Lundbeckfonden</w:t>
            </w:r>
            <w:r>
              <w:t>.</w:t>
            </w:r>
          </w:p>
        </w:tc>
      </w:tr>
      <w:tr w:rsidR="00CB38D5" w:rsidRPr="00B5346F" w:rsidTr="00C87589">
        <w:tc>
          <w:tcPr>
            <w:tcW w:w="2653" w:type="dxa"/>
            <w:tcBorders>
              <w:top w:val="single" w:sz="4" w:space="0" w:color="D1C5C3" w:themeColor="accent3"/>
              <w:bottom w:val="single" w:sz="4" w:space="0" w:color="D1C5C3" w:themeColor="accent3"/>
            </w:tcBorders>
            <w:shd w:val="clear" w:color="auto" w:fill="FBF9F9"/>
          </w:tcPr>
          <w:p w:rsidR="00CB38D5" w:rsidRDefault="00CB38D5" w:rsidP="009A36E0">
            <w:pPr>
              <w:pStyle w:val="Tabel-BrdtekstmedafstandptekstGaramond"/>
              <w:rPr>
                <w:i/>
              </w:rPr>
            </w:pPr>
            <w:r>
              <w:rPr>
                <w:i/>
              </w:rPr>
              <w:t>Aarhus Universitet m.fl.</w:t>
            </w:r>
          </w:p>
        </w:tc>
        <w:tc>
          <w:tcPr>
            <w:tcW w:w="194" w:type="dxa"/>
            <w:shd w:val="clear" w:color="auto" w:fill="FFFFFF" w:themeFill="background1"/>
          </w:tcPr>
          <w:p w:rsidR="00CB38D5" w:rsidRPr="00B5346F" w:rsidRDefault="00CB38D5" w:rsidP="00122C71"/>
        </w:tc>
        <w:tc>
          <w:tcPr>
            <w:tcW w:w="3324" w:type="dxa"/>
            <w:tcBorders>
              <w:top w:val="single" w:sz="4" w:space="0" w:color="D1C5C3" w:themeColor="accent3"/>
              <w:bottom w:val="single" w:sz="4" w:space="0" w:color="D1C5C3" w:themeColor="accent3"/>
            </w:tcBorders>
            <w:shd w:val="clear" w:color="auto" w:fill="FBF9F9"/>
          </w:tcPr>
          <w:p w:rsidR="00CB38D5" w:rsidRDefault="00CB38D5" w:rsidP="001F0ED3">
            <w:pPr>
              <w:pStyle w:val="Tabel-BrdtekstmedafstandptekstGaramond"/>
            </w:pPr>
            <w:r w:rsidRPr="00CB38D5">
              <w:t>Dekanerne for de sundhedsv</w:t>
            </w:r>
            <w:r w:rsidRPr="00CB38D5">
              <w:t>i</w:t>
            </w:r>
            <w:r w:rsidRPr="00CB38D5">
              <w:t>denskabelige fakulteter på K</w:t>
            </w:r>
            <w:r w:rsidRPr="00CB38D5">
              <w:t>ø</w:t>
            </w:r>
            <w:r w:rsidRPr="00CB38D5">
              <w:t>benhavns Universitet, Syddansk Universitet, Aalborg Universitet og Aarhus Universitet og hosp</w:t>
            </w:r>
            <w:r w:rsidRPr="00CB38D5">
              <w:t>i</w:t>
            </w:r>
            <w:r>
              <w:t>talsdirektø</w:t>
            </w:r>
            <w:r w:rsidRPr="00CB38D5">
              <w:t>rerne fra Rigshospit</w:t>
            </w:r>
            <w:r w:rsidRPr="00CB38D5">
              <w:t>a</w:t>
            </w:r>
            <w:r w:rsidRPr="00CB38D5">
              <w:t xml:space="preserve">let, Odense Universitetshospital, Aalborg Universitetshospital og Aarhus Universitetshospital </w:t>
            </w:r>
            <w:r>
              <w:t>p</w:t>
            </w:r>
            <w:r>
              <w:t>e</w:t>
            </w:r>
            <w:r>
              <w:t xml:space="preserve">ger </w:t>
            </w:r>
            <w:r w:rsidR="00C72C50">
              <w:t xml:space="preserve">i en fælles høringsskrivelse på, at </w:t>
            </w:r>
            <w:r w:rsidR="00BB1763">
              <w:t>r</w:t>
            </w:r>
            <w:r w:rsidR="00C72C50" w:rsidRPr="00C72C50">
              <w:t>egeringens finanslovsfo</w:t>
            </w:r>
            <w:r w:rsidR="00C72C50" w:rsidRPr="00C72C50">
              <w:t>r</w:t>
            </w:r>
            <w:r w:rsidR="00C72C50" w:rsidRPr="00C72C50">
              <w:lastRenderedPageBreak/>
              <w:t>slag for 2016 indehold</w:t>
            </w:r>
            <w:r w:rsidR="00BB1763">
              <w:t>er</w:t>
            </w:r>
            <w:r w:rsidR="00C72C50" w:rsidRPr="00C72C50">
              <w:t xml:space="preserve"> en b</w:t>
            </w:r>
            <w:r w:rsidR="00C72C50" w:rsidRPr="00C72C50">
              <w:t>e</w:t>
            </w:r>
            <w:r w:rsidR="00C72C50" w:rsidRPr="00C72C50">
              <w:t xml:space="preserve">sparelse på den offentligt </w:t>
            </w:r>
            <w:r w:rsidR="00BB1763" w:rsidRPr="00C72C50">
              <w:t>fina</w:t>
            </w:r>
            <w:r w:rsidR="00BB1763" w:rsidRPr="00C72C50">
              <w:t>n</w:t>
            </w:r>
            <w:r w:rsidR="00BB1763" w:rsidRPr="00C72C50">
              <w:t>sierede</w:t>
            </w:r>
            <w:r w:rsidR="00C72C50" w:rsidRPr="00C72C50">
              <w:t xml:space="preserve"> forskning i Danmark. </w:t>
            </w:r>
            <w:r w:rsidR="00180787">
              <w:t xml:space="preserve">Det beskrives i den forbindelse, at bevillingerne til </w:t>
            </w:r>
            <w:r w:rsidR="00C72C50" w:rsidRPr="00C72C50">
              <w:t>Det Frie Fors</w:t>
            </w:r>
            <w:r w:rsidR="00C72C50" w:rsidRPr="00C72C50">
              <w:t>k</w:t>
            </w:r>
            <w:r w:rsidR="00C72C50" w:rsidRPr="00C72C50">
              <w:t xml:space="preserve">ningsråd og Innovationsfonden </w:t>
            </w:r>
            <w:r w:rsidR="00180787">
              <w:t xml:space="preserve">er </w:t>
            </w:r>
            <w:r w:rsidR="00C72C50" w:rsidRPr="00C72C50">
              <w:t>blevet reduceret med mere end 600 mio. kr., og dermed er m</w:t>
            </w:r>
            <w:r w:rsidR="00C72C50" w:rsidRPr="00C72C50">
              <w:t>u</w:t>
            </w:r>
            <w:r w:rsidR="00C72C50" w:rsidRPr="00C72C50">
              <w:t>lighederne for udvikling og inn</w:t>
            </w:r>
            <w:r w:rsidR="00C72C50" w:rsidRPr="00C72C50">
              <w:t>o</w:t>
            </w:r>
            <w:r w:rsidR="00C72C50" w:rsidRPr="00C72C50">
              <w:t>vation på blandt andet sun</w:t>
            </w:r>
            <w:r w:rsidR="00C72C50" w:rsidRPr="00C72C50">
              <w:t>d</w:t>
            </w:r>
            <w:r w:rsidR="00C72C50" w:rsidRPr="00C72C50">
              <w:t>hedsområdet blevet begrænset i et alvorligt omfang.</w:t>
            </w:r>
          </w:p>
          <w:p w:rsidR="001F0ED3" w:rsidRPr="001F0ED3" w:rsidRDefault="001F0ED3" w:rsidP="001F0ED3">
            <w:pPr>
              <w:pStyle w:val="Tabel-BrdtekstmedafstandptekstGaramond"/>
            </w:pPr>
          </w:p>
          <w:p w:rsidR="001F0ED3" w:rsidRDefault="001F0ED3" w:rsidP="008E7D2A">
            <w:pPr>
              <w:pStyle w:val="Tabel-BrdtekstmedafstandptekstGaramond"/>
            </w:pPr>
            <w:r>
              <w:t xml:space="preserve">Det påpeges dernæst, at </w:t>
            </w:r>
            <w:r w:rsidRPr="001F0ED3">
              <w:t>regeri</w:t>
            </w:r>
            <w:r w:rsidRPr="001F0ED3">
              <w:t>n</w:t>
            </w:r>
            <w:r w:rsidRPr="001F0ED3">
              <w:t xml:space="preserve">gen </w:t>
            </w:r>
            <w:r w:rsidR="004A76ED">
              <w:t xml:space="preserve">– når den </w:t>
            </w:r>
            <w:r w:rsidRPr="001F0ED3">
              <w:t xml:space="preserve">samtidig </w:t>
            </w:r>
            <w:r w:rsidR="004A76ED">
              <w:t xml:space="preserve">med </w:t>
            </w:r>
            <w:r w:rsidR="0081333A">
              <w:t xml:space="preserve">disse </w:t>
            </w:r>
            <w:r w:rsidR="004A76ED">
              <w:t xml:space="preserve">besparelser på de offentlige forskningsmidler </w:t>
            </w:r>
            <w:r w:rsidRPr="001F0ED3">
              <w:t xml:space="preserve">fremsætter </w:t>
            </w:r>
            <w:r w:rsidR="004A76ED">
              <w:t>nærværende lovf</w:t>
            </w:r>
            <w:r w:rsidRPr="001F0ED3">
              <w:t>orslag, der fo</w:t>
            </w:r>
            <w:r w:rsidRPr="001F0ED3">
              <w:t>r</w:t>
            </w:r>
            <w:r w:rsidRPr="001F0ED3">
              <w:t xml:space="preserve">ringer private fondes vilkår for at </w:t>
            </w:r>
            <w:r w:rsidR="008E7D2A">
              <w:t xml:space="preserve">yde </w:t>
            </w:r>
            <w:r w:rsidRPr="001F0ED3">
              <w:t xml:space="preserve">støtte </w:t>
            </w:r>
            <w:r w:rsidR="008E7D2A">
              <w:t xml:space="preserve">til </w:t>
            </w:r>
            <w:r w:rsidRPr="001F0ED3">
              <w:t>almennyttige formål, herunder dansk forsk</w:t>
            </w:r>
            <w:r w:rsidR="004A76ED">
              <w:t>ning – sk</w:t>
            </w:r>
            <w:r w:rsidR="004A76ED">
              <w:t>a</w:t>
            </w:r>
            <w:r w:rsidR="004A76ED">
              <w:t xml:space="preserve">ber </w:t>
            </w:r>
            <w:r w:rsidRPr="001F0ED3">
              <w:t>en markant og alvorlig fo</w:t>
            </w:r>
            <w:r w:rsidRPr="001F0ED3">
              <w:t>r</w:t>
            </w:r>
            <w:r w:rsidRPr="001F0ED3">
              <w:t>værring af grundlaget for den danske forskning. Konsekvensen af lovforslag</w:t>
            </w:r>
            <w:r w:rsidR="008E7D2A">
              <w:t>et</w:t>
            </w:r>
            <w:r w:rsidRPr="001F0ED3">
              <w:t xml:space="preserve"> er således et stød til en forskningssektor, der i fo</w:t>
            </w:r>
            <w:r w:rsidRPr="001F0ED3">
              <w:t>r</w:t>
            </w:r>
            <w:r w:rsidRPr="001F0ED3">
              <w:t>vejen er under et stort pres som følge af besparelsen på den o</w:t>
            </w:r>
            <w:r w:rsidRPr="001F0ED3">
              <w:t>f</w:t>
            </w:r>
            <w:r w:rsidRPr="001F0ED3">
              <w:t>fentligt finansierede forskning i Danmark.</w:t>
            </w:r>
          </w:p>
          <w:p w:rsidR="006458A3" w:rsidRPr="006458A3" w:rsidRDefault="006458A3" w:rsidP="006458A3">
            <w:pPr>
              <w:pStyle w:val="Tabel-BrdtekstmedafstandptekstGaramond"/>
            </w:pPr>
          </w:p>
          <w:p w:rsidR="006458A3" w:rsidRDefault="006458A3" w:rsidP="00663732">
            <w:pPr>
              <w:pStyle w:val="Tabel-BrdtekstmedafstandptekstGaramond"/>
            </w:pPr>
            <w:r>
              <w:t>I det fælles høringssvar bemæ</w:t>
            </w:r>
            <w:r>
              <w:t>r</w:t>
            </w:r>
            <w:r>
              <w:t xml:space="preserve">kes dernæst, at </w:t>
            </w:r>
            <w:r w:rsidR="00663732">
              <w:t xml:space="preserve">det skønnede merprovenu på 200 mio. kr. ved lovforslaget – efter en </w:t>
            </w:r>
            <w:r>
              <w:t>for</w:t>
            </w:r>
            <w:r w:rsidRPr="006458A3">
              <w:t xml:space="preserve">sigtig vurdering </w:t>
            </w:r>
            <w:r w:rsidR="00663732">
              <w:t xml:space="preserve">– </w:t>
            </w:r>
            <w:r w:rsidRPr="006458A3">
              <w:t xml:space="preserve">er alt for lavt, og at fondene </w:t>
            </w:r>
            <w:r w:rsidR="00C45ED2">
              <w:t xml:space="preserve">derfor </w:t>
            </w:r>
            <w:r w:rsidRPr="006458A3">
              <w:t>bliver nød</w:t>
            </w:r>
            <w:r w:rsidR="00C45ED2">
              <w:t>t</w:t>
            </w:r>
            <w:r w:rsidRPr="006458A3">
              <w:t xml:space="preserve"> til at reducere deres uddelinger med et langt større beløb.</w:t>
            </w:r>
          </w:p>
          <w:p w:rsidR="00EF2C0A" w:rsidRDefault="00EF2C0A" w:rsidP="00663732">
            <w:pPr>
              <w:pStyle w:val="Tabel-BrdtekstmedafstandptekstGaramond"/>
            </w:pPr>
          </w:p>
          <w:p w:rsidR="00DC16E0" w:rsidRDefault="00EF2C0A" w:rsidP="00EF2C0A">
            <w:pPr>
              <w:pStyle w:val="Tabel-BrdtekstmedafstandptekstGaramond"/>
            </w:pPr>
            <w:r>
              <w:t>Det beskrives, at e</w:t>
            </w:r>
            <w:r w:rsidRPr="00EF2C0A">
              <w:t>n ganske b</w:t>
            </w:r>
            <w:r w:rsidRPr="00EF2C0A">
              <w:t>e</w:t>
            </w:r>
            <w:r w:rsidRPr="00EF2C0A">
              <w:t>tragtelig del af den sundhedsv</w:t>
            </w:r>
            <w:r w:rsidRPr="00EF2C0A">
              <w:t>i</w:t>
            </w:r>
            <w:r w:rsidRPr="00EF2C0A">
              <w:t>denskabelige forskning i Da</w:t>
            </w:r>
            <w:r w:rsidRPr="00EF2C0A">
              <w:t>n</w:t>
            </w:r>
            <w:r w:rsidRPr="00EF2C0A">
              <w:t xml:space="preserve">mark </w:t>
            </w:r>
            <w:r>
              <w:t xml:space="preserve">i dag </w:t>
            </w:r>
            <w:r w:rsidRPr="00EF2C0A">
              <w:t xml:space="preserve">finansieres af private </w:t>
            </w:r>
            <w:r w:rsidRPr="00EF2C0A">
              <w:lastRenderedPageBreak/>
              <w:t>fonde</w:t>
            </w:r>
            <w:r w:rsidR="00DC16E0">
              <w:t>, og at f</w:t>
            </w:r>
            <w:r w:rsidRPr="00EF2C0A">
              <w:t xml:space="preserve">ondene </w:t>
            </w:r>
            <w:r w:rsidR="00DC16E0">
              <w:t xml:space="preserve">således </w:t>
            </w:r>
            <w:r w:rsidRPr="00EF2C0A">
              <w:t>spi</w:t>
            </w:r>
            <w:r w:rsidRPr="00EF2C0A">
              <w:t>l</w:t>
            </w:r>
            <w:r w:rsidRPr="00EF2C0A">
              <w:t xml:space="preserve">ler en helt central rolle for </w:t>
            </w:r>
            <w:r w:rsidR="00DC16E0">
              <w:t xml:space="preserve">denne </w:t>
            </w:r>
            <w:r w:rsidRPr="00EF2C0A">
              <w:t xml:space="preserve">forskning. </w:t>
            </w:r>
          </w:p>
          <w:p w:rsidR="00DC16E0" w:rsidRDefault="00DC16E0" w:rsidP="00EF2C0A">
            <w:pPr>
              <w:pStyle w:val="Tabel-BrdtekstmedafstandptekstGaramond"/>
            </w:pPr>
          </w:p>
          <w:p w:rsidR="00EF2C0A" w:rsidRDefault="00EF2C0A" w:rsidP="00EF2C0A">
            <w:pPr>
              <w:pStyle w:val="Tabel-BrdtekstmedafstandptekstGaramond"/>
            </w:pPr>
            <w:r w:rsidRPr="00EF2C0A">
              <w:t>Med finanslovsbesparelsen og lov</w:t>
            </w:r>
            <w:r>
              <w:t xml:space="preserve">forslaget </w:t>
            </w:r>
            <w:r w:rsidR="00DC16E0">
              <w:t>vedrørende fondsb</w:t>
            </w:r>
            <w:r w:rsidR="00DC16E0">
              <w:t>e</w:t>
            </w:r>
            <w:r w:rsidR="00DC16E0">
              <w:t>skatningen er det van</w:t>
            </w:r>
            <w:r w:rsidRPr="00EF2C0A">
              <w:t>skeligt at se, hvor pengene til udvikling af ny medicin og nye behandlingsm</w:t>
            </w:r>
            <w:r w:rsidRPr="00EF2C0A">
              <w:t>e</w:t>
            </w:r>
            <w:r w:rsidRPr="00EF2C0A">
              <w:t>toder skal komme fra i fremtiden. Summen af forringelserne ra</w:t>
            </w:r>
            <w:r w:rsidRPr="00EF2C0A">
              <w:t>m</w:t>
            </w:r>
            <w:r w:rsidRPr="00EF2C0A">
              <w:t>mer således ikke blot det danske universitets- og hospitalsvæsen, men også patienterne og borge</w:t>
            </w:r>
            <w:r w:rsidRPr="00EF2C0A">
              <w:t>r</w:t>
            </w:r>
            <w:r w:rsidR="00DC16E0">
              <w:t>ne i Dan</w:t>
            </w:r>
            <w:r w:rsidRPr="00EF2C0A">
              <w:t xml:space="preserve">mark. </w:t>
            </w:r>
          </w:p>
          <w:p w:rsidR="00DC16E0" w:rsidRPr="00EF2C0A" w:rsidRDefault="00DC16E0" w:rsidP="00EF2C0A">
            <w:pPr>
              <w:pStyle w:val="Tabel-BrdtekstmedafstandptekstGaramond"/>
            </w:pPr>
          </w:p>
          <w:p w:rsidR="00EF2C0A" w:rsidRDefault="00DC16E0" w:rsidP="00EF2C0A">
            <w:pPr>
              <w:pStyle w:val="Tabel-BrdtekstmedafstandptekstGaramond"/>
            </w:pPr>
            <w:r>
              <w:t xml:space="preserve">Det er således </w:t>
            </w:r>
            <w:r w:rsidR="00EF2C0A" w:rsidRPr="00EF2C0A">
              <w:t>vurdering</w:t>
            </w:r>
            <w:r>
              <w:t xml:space="preserve">en </w:t>
            </w:r>
            <w:r w:rsidR="00177552">
              <w:t>i</w:t>
            </w:r>
            <w:r>
              <w:t xml:space="preserve"> den fælles høringsskrivelse, </w:t>
            </w:r>
            <w:r w:rsidR="00EF2C0A" w:rsidRPr="00EF2C0A">
              <w:t>at det i sidste ende vil blive dyrt for sa</w:t>
            </w:r>
            <w:r w:rsidR="00EF2C0A" w:rsidRPr="00EF2C0A">
              <w:t>m</w:t>
            </w:r>
            <w:r w:rsidR="00EF2C0A" w:rsidRPr="00EF2C0A">
              <w:t>fundet, idet forskning og udvi</w:t>
            </w:r>
            <w:r w:rsidR="00EF2C0A" w:rsidRPr="00EF2C0A">
              <w:t>k</w:t>
            </w:r>
            <w:r w:rsidR="00EF2C0A" w:rsidRPr="00EF2C0A">
              <w:t>ling er en investering i den da</w:t>
            </w:r>
            <w:r w:rsidR="00EF2C0A" w:rsidRPr="00EF2C0A">
              <w:t>n</w:t>
            </w:r>
            <w:r w:rsidR="00EF2C0A" w:rsidRPr="00EF2C0A">
              <w:t>ske befolknings sundhed, Da</w:t>
            </w:r>
            <w:r w:rsidR="00EF2C0A" w:rsidRPr="00EF2C0A">
              <w:t>n</w:t>
            </w:r>
            <w:r w:rsidR="00EF2C0A" w:rsidRPr="00EF2C0A">
              <w:t>marks kon</w:t>
            </w:r>
            <w:r>
              <w:t>kurren</w:t>
            </w:r>
            <w:r w:rsidR="00EF2C0A" w:rsidRPr="00EF2C0A">
              <w:t xml:space="preserve">cedygtighed og det danske beskatningsgrundlag i fremtiden. </w:t>
            </w:r>
          </w:p>
          <w:p w:rsidR="00DC16E0" w:rsidRPr="00EF2C0A" w:rsidRDefault="00DC16E0" w:rsidP="00EF2C0A">
            <w:pPr>
              <w:pStyle w:val="Tabel-BrdtekstmedafstandptekstGaramond"/>
            </w:pPr>
          </w:p>
          <w:p w:rsidR="00D7558A" w:rsidRDefault="00B73036" w:rsidP="00D7558A">
            <w:pPr>
              <w:pStyle w:val="Tabel-BrdtekstmedafstandptekstGaramond"/>
            </w:pPr>
            <w:r>
              <w:t>Der appelleres afslutningsvist om</w:t>
            </w:r>
            <w:r w:rsidR="00EF2C0A" w:rsidRPr="00EF2C0A">
              <w:t xml:space="preserve">, at Skatteministeriet </w:t>
            </w:r>
            <w:r w:rsidR="00D7558A">
              <w:t>og</w:t>
            </w:r>
            <w:r w:rsidR="00EF2C0A" w:rsidRPr="00EF2C0A">
              <w:t xml:space="preserve"> reg</w:t>
            </w:r>
            <w:r w:rsidR="00EF2C0A" w:rsidRPr="00EF2C0A">
              <w:t>e</w:t>
            </w:r>
            <w:r w:rsidR="00EF2C0A" w:rsidRPr="00EF2C0A">
              <w:t>ring</w:t>
            </w:r>
            <w:r w:rsidR="00D7558A">
              <w:t>en</w:t>
            </w:r>
            <w:r w:rsidR="00EF2C0A" w:rsidRPr="00EF2C0A">
              <w:t xml:space="preserve"> vil genoverveje den sa</w:t>
            </w:r>
            <w:r w:rsidR="00EF2C0A" w:rsidRPr="00EF2C0A">
              <w:t>m</w:t>
            </w:r>
            <w:r w:rsidR="00EF2C0A" w:rsidRPr="00EF2C0A">
              <w:t>lede samfundsmæssige effekt af de seneste måneders uafhængige, men alligevel i høj grad samme</w:t>
            </w:r>
            <w:r w:rsidR="00EF2C0A" w:rsidRPr="00EF2C0A">
              <w:t>n</w:t>
            </w:r>
            <w:r w:rsidR="00EF2C0A" w:rsidRPr="00EF2C0A">
              <w:t>faldende, beslutninger om forri</w:t>
            </w:r>
            <w:r w:rsidR="00EF2C0A" w:rsidRPr="00EF2C0A">
              <w:t>n</w:t>
            </w:r>
            <w:r w:rsidR="00EF2C0A" w:rsidRPr="00EF2C0A">
              <w:t xml:space="preserve">gelser for den danske forskning. </w:t>
            </w:r>
          </w:p>
          <w:p w:rsidR="00C45ED2" w:rsidRDefault="00C45ED2" w:rsidP="00663732">
            <w:pPr>
              <w:pStyle w:val="Tabel-BrdtekstmedafstandptekstGaramond"/>
            </w:pPr>
          </w:p>
          <w:p w:rsidR="00C45ED2" w:rsidRDefault="00C45ED2" w:rsidP="00663732">
            <w:pPr>
              <w:pStyle w:val="Tabel-BrdtekstmedafstandptekstGaramond"/>
            </w:pPr>
          </w:p>
        </w:tc>
        <w:tc>
          <w:tcPr>
            <w:tcW w:w="209" w:type="dxa"/>
            <w:shd w:val="clear" w:color="auto" w:fill="FFFFFF" w:themeFill="background1"/>
          </w:tcPr>
          <w:p w:rsidR="00CB38D5" w:rsidRPr="00B5346F" w:rsidRDefault="00CB38D5" w:rsidP="00122C71"/>
        </w:tc>
        <w:tc>
          <w:tcPr>
            <w:tcW w:w="3259" w:type="dxa"/>
            <w:tcBorders>
              <w:top w:val="single" w:sz="4" w:space="0" w:color="14143C" w:themeColor="accent1"/>
              <w:bottom w:val="single" w:sz="4" w:space="0" w:color="14143C" w:themeColor="accent1"/>
            </w:tcBorders>
            <w:shd w:val="clear" w:color="auto" w:fill="D2CED8"/>
          </w:tcPr>
          <w:p w:rsidR="00CB38D5" w:rsidRDefault="00DC2F98" w:rsidP="007D7335">
            <w:pPr>
              <w:pStyle w:val="Tabel-BrdtekstmedafstandptekstGaramond"/>
            </w:pPr>
            <w:r>
              <w:t xml:space="preserve">Der henvises til kommentarerne til Akademikerne og </w:t>
            </w:r>
            <w:r w:rsidR="007D7335" w:rsidRPr="0012378C">
              <w:t>Danmarks Forsknings- og Innovationspol</w:t>
            </w:r>
            <w:r w:rsidR="007D7335" w:rsidRPr="0012378C">
              <w:t>i</w:t>
            </w:r>
            <w:r w:rsidR="007D7335">
              <w:t>tiske Råd.</w:t>
            </w:r>
          </w:p>
          <w:p w:rsidR="007A40B1" w:rsidRDefault="007A40B1" w:rsidP="007D7335">
            <w:pPr>
              <w:pStyle w:val="Tabel-BrdtekstmedafstandptekstGaramond"/>
            </w:pPr>
          </w:p>
          <w:p w:rsidR="007A40B1" w:rsidRDefault="007A40B1" w:rsidP="007D7335">
            <w:pPr>
              <w:pStyle w:val="Tabel-BrdtekstmedafstandptekstGaramond"/>
            </w:pPr>
          </w:p>
          <w:p w:rsidR="007A40B1" w:rsidRDefault="007A40B1" w:rsidP="007D7335">
            <w:pPr>
              <w:pStyle w:val="Tabel-BrdtekstmedafstandptekstGaramond"/>
            </w:pPr>
          </w:p>
          <w:p w:rsidR="007A40B1" w:rsidRDefault="007A40B1" w:rsidP="007D7335">
            <w:pPr>
              <w:pStyle w:val="Tabel-BrdtekstmedafstandptekstGaramond"/>
            </w:pPr>
          </w:p>
          <w:p w:rsidR="007A40B1" w:rsidRDefault="007A40B1" w:rsidP="007D7335">
            <w:pPr>
              <w:pStyle w:val="Tabel-BrdtekstmedafstandptekstGaramond"/>
            </w:pPr>
          </w:p>
          <w:p w:rsidR="007A40B1" w:rsidRDefault="007A40B1" w:rsidP="007D7335">
            <w:pPr>
              <w:pStyle w:val="Tabel-BrdtekstmedafstandptekstGaramond"/>
            </w:pPr>
          </w:p>
          <w:p w:rsidR="007A40B1" w:rsidRDefault="007A40B1" w:rsidP="007D7335">
            <w:pPr>
              <w:pStyle w:val="Tabel-BrdtekstmedafstandptekstGaramond"/>
            </w:pPr>
          </w:p>
          <w:p w:rsidR="007A40B1" w:rsidRDefault="007A40B1" w:rsidP="007D7335">
            <w:pPr>
              <w:pStyle w:val="Tabel-BrdtekstmedafstandptekstGaramond"/>
            </w:pPr>
          </w:p>
          <w:p w:rsidR="007A40B1" w:rsidRDefault="007A40B1" w:rsidP="007D7335">
            <w:pPr>
              <w:pStyle w:val="Tabel-BrdtekstmedafstandptekstGaramond"/>
            </w:pPr>
          </w:p>
          <w:p w:rsidR="007A40B1" w:rsidRDefault="007A40B1" w:rsidP="007D7335">
            <w:pPr>
              <w:pStyle w:val="Tabel-BrdtekstmedafstandptekstGaramond"/>
            </w:pPr>
          </w:p>
          <w:p w:rsidR="007A40B1" w:rsidRDefault="007A40B1" w:rsidP="007D7335">
            <w:pPr>
              <w:pStyle w:val="Tabel-BrdtekstmedafstandptekstGaramond"/>
            </w:pPr>
          </w:p>
          <w:p w:rsidR="007A40B1" w:rsidRDefault="007A40B1" w:rsidP="007D7335">
            <w:pPr>
              <w:pStyle w:val="Tabel-BrdtekstmedafstandptekstGaramond"/>
            </w:pPr>
          </w:p>
          <w:p w:rsidR="007A40B1" w:rsidRDefault="007A40B1" w:rsidP="007D7335">
            <w:pPr>
              <w:pStyle w:val="Tabel-BrdtekstmedafstandptekstGaramond"/>
            </w:pPr>
          </w:p>
          <w:p w:rsidR="007A40B1" w:rsidRDefault="007A40B1" w:rsidP="007D7335">
            <w:pPr>
              <w:pStyle w:val="Tabel-BrdtekstmedafstandptekstGaramond"/>
            </w:pPr>
          </w:p>
          <w:p w:rsidR="007A40B1" w:rsidRDefault="007A40B1" w:rsidP="007D7335">
            <w:pPr>
              <w:pStyle w:val="Tabel-BrdtekstmedafstandptekstGaramond"/>
            </w:pPr>
          </w:p>
          <w:p w:rsidR="007A40B1" w:rsidRDefault="007A40B1" w:rsidP="007D7335">
            <w:pPr>
              <w:pStyle w:val="Tabel-BrdtekstmedafstandptekstGaramond"/>
            </w:pPr>
          </w:p>
          <w:p w:rsidR="007A40B1" w:rsidRDefault="007A40B1" w:rsidP="007D7335">
            <w:pPr>
              <w:pStyle w:val="Tabel-BrdtekstmedafstandptekstGaramond"/>
            </w:pPr>
          </w:p>
          <w:p w:rsidR="007A40B1" w:rsidRDefault="007A40B1" w:rsidP="007D7335">
            <w:pPr>
              <w:pStyle w:val="Tabel-BrdtekstmedafstandptekstGaramond"/>
            </w:pPr>
          </w:p>
          <w:p w:rsidR="007A40B1" w:rsidRDefault="007A40B1" w:rsidP="007D7335">
            <w:pPr>
              <w:pStyle w:val="Tabel-BrdtekstmedafstandptekstGaramond"/>
            </w:pPr>
          </w:p>
          <w:p w:rsidR="007A40B1" w:rsidRDefault="007A40B1" w:rsidP="007D7335">
            <w:pPr>
              <w:pStyle w:val="Tabel-BrdtekstmedafstandptekstGaramond"/>
            </w:pPr>
          </w:p>
          <w:p w:rsidR="007A40B1" w:rsidRDefault="007A40B1" w:rsidP="007D7335">
            <w:pPr>
              <w:pStyle w:val="Tabel-BrdtekstmedafstandptekstGaramond"/>
            </w:pPr>
          </w:p>
          <w:p w:rsidR="007A40B1" w:rsidRDefault="007A40B1" w:rsidP="007D7335">
            <w:pPr>
              <w:pStyle w:val="Tabel-BrdtekstmedafstandptekstGaramond"/>
            </w:pPr>
          </w:p>
          <w:p w:rsidR="007A40B1" w:rsidRDefault="007A40B1" w:rsidP="007D7335">
            <w:pPr>
              <w:pStyle w:val="Tabel-BrdtekstmedafstandptekstGaramond"/>
            </w:pPr>
          </w:p>
          <w:p w:rsidR="007A40B1" w:rsidRDefault="007A40B1" w:rsidP="007D7335">
            <w:pPr>
              <w:pStyle w:val="Tabel-BrdtekstmedafstandptekstGaramond"/>
            </w:pPr>
          </w:p>
          <w:p w:rsidR="007A40B1" w:rsidRDefault="007A40B1" w:rsidP="007D7335">
            <w:pPr>
              <w:pStyle w:val="Tabel-BrdtekstmedafstandptekstGaramond"/>
            </w:pPr>
          </w:p>
          <w:p w:rsidR="007A40B1" w:rsidRDefault="007A40B1" w:rsidP="007D7335">
            <w:pPr>
              <w:pStyle w:val="Tabel-BrdtekstmedafstandptekstGaramond"/>
            </w:pPr>
          </w:p>
          <w:p w:rsidR="007A40B1" w:rsidRDefault="007A40B1" w:rsidP="007D7335">
            <w:pPr>
              <w:pStyle w:val="Tabel-BrdtekstmedafstandptekstGaramond"/>
            </w:pPr>
          </w:p>
          <w:p w:rsidR="007A40B1" w:rsidRDefault="007A40B1" w:rsidP="007D7335">
            <w:pPr>
              <w:pStyle w:val="Tabel-BrdtekstmedafstandptekstGaramond"/>
            </w:pPr>
          </w:p>
          <w:p w:rsidR="007A40B1" w:rsidRDefault="007A40B1" w:rsidP="007D7335">
            <w:pPr>
              <w:pStyle w:val="Tabel-BrdtekstmedafstandptekstGaramond"/>
            </w:pPr>
          </w:p>
          <w:p w:rsidR="007A40B1" w:rsidRDefault="007A40B1" w:rsidP="007D7335">
            <w:pPr>
              <w:pStyle w:val="Tabel-BrdtekstmedafstandptekstGaramond"/>
            </w:pPr>
          </w:p>
          <w:p w:rsidR="007A40B1" w:rsidRDefault="007A40B1" w:rsidP="007D7335">
            <w:pPr>
              <w:pStyle w:val="Tabel-BrdtekstmedafstandptekstGaramond"/>
            </w:pPr>
          </w:p>
          <w:p w:rsidR="007A40B1" w:rsidRDefault="007A40B1" w:rsidP="007D7335">
            <w:pPr>
              <w:pStyle w:val="Tabel-BrdtekstmedafstandptekstGaramond"/>
            </w:pPr>
          </w:p>
          <w:p w:rsidR="007A40B1" w:rsidRDefault="007A40B1" w:rsidP="007D7335">
            <w:pPr>
              <w:pStyle w:val="Tabel-BrdtekstmedafstandptekstGaramond"/>
            </w:pPr>
          </w:p>
          <w:p w:rsidR="007A40B1" w:rsidRDefault="007A40B1" w:rsidP="007D7335">
            <w:pPr>
              <w:pStyle w:val="Tabel-BrdtekstmedafstandptekstGaramond"/>
            </w:pPr>
          </w:p>
          <w:p w:rsidR="007A40B1" w:rsidRDefault="007A40B1" w:rsidP="007D7335">
            <w:pPr>
              <w:pStyle w:val="Tabel-BrdtekstmedafstandptekstGaramond"/>
            </w:pPr>
          </w:p>
          <w:p w:rsidR="007A40B1" w:rsidRDefault="007A40B1" w:rsidP="007D7335">
            <w:pPr>
              <w:pStyle w:val="Tabel-BrdtekstmedafstandptekstGaramond"/>
            </w:pPr>
          </w:p>
          <w:p w:rsidR="007A40B1" w:rsidRDefault="007A40B1" w:rsidP="007D7335">
            <w:pPr>
              <w:pStyle w:val="Tabel-BrdtekstmedafstandptekstGaramond"/>
            </w:pPr>
          </w:p>
          <w:p w:rsidR="007A40B1" w:rsidRDefault="007A40B1" w:rsidP="007D7335">
            <w:pPr>
              <w:pStyle w:val="Tabel-BrdtekstmedafstandptekstGaramond"/>
            </w:pPr>
          </w:p>
          <w:p w:rsidR="007A40B1" w:rsidRDefault="007A40B1" w:rsidP="007A40B1">
            <w:pPr>
              <w:pStyle w:val="Tabel-BrdtekstmedafstandptekstGaramond"/>
            </w:pPr>
            <w:r>
              <w:t xml:space="preserve">Der henvises til kommentaren til </w:t>
            </w:r>
            <w:r w:rsidRPr="001465F2">
              <w:t>Deloitte, EY, KPMG og PwC</w:t>
            </w:r>
            <w:r>
              <w:t>.</w:t>
            </w:r>
          </w:p>
          <w:p w:rsidR="007A40B1" w:rsidRDefault="007A40B1" w:rsidP="007D7335">
            <w:pPr>
              <w:pStyle w:val="Tabel-BrdtekstmedafstandptekstGaramond"/>
            </w:pPr>
          </w:p>
        </w:tc>
      </w:tr>
    </w:tbl>
    <w:p w:rsidR="009A36E0" w:rsidRDefault="009A36E0" w:rsidP="009A36E0"/>
    <w:p w:rsidR="009A36E0" w:rsidRDefault="009A36E0" w:rsidP="009A36E0"/>
    <w:p w:rsidR="009A36E0" w:rsidRDefault="009A36E0" w:rsidP="009A36E0"/>
    <w:sectPr w:rsidR="009A36E0" w:rsidSect="00207BEC">
      <w:headerReference w:type="even" r:id="rId8"/>
      <w:headerReference w:type="default" r:id="rId9"/>
      <w:footerReference w:type="even" r:id="rId10"/>
      <w:footerReference w:type="default" r:id="rId11"/>
      <w:headerReference w:type="first" r:id="rId12"/>
      <w:footerReference w:type="first" r:id="rId13"/>
      <w:pgSz w:w="11906" w:h="16838" w:code="9"/>
      <w:pgMar w:top="2381" w:right="3119" w:bottom="1701" w:left="1134" w:header="567" w:footer="5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95B" w:rsidRDefault="0014195B" w:rsidP="009E4B94">
      <w:pPr>
        <w:spacing w:line="240" w:lineRule="auto"/>
      </w:pPr>
      <w:r>
        <w:separator/>
      </w:r>
    </w:p>
  </w:endnote>
  <w:endnote w:type="continuationSeparator" w:id="0">
    <w:p w:rsidR="0014195B" w:rsidRDefault="0014195B"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5B" w:rsidRDefault="0014195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5B" w:rsidRPr="00681D83" w:rsidRDefault="0014195B" w:rsidP="00C51167">
    <w:pPr>
      <w:pStyle w:val="Sidefod"/>
    </w:pPr>
    <w:r>
      <w:rPr>
        <w:noProof/>
        <w:lang w:eastAsia="da-DK"/>
      </w:rPr>
      <mc:AlternateContent>
        <mc:Choice Requires="wps">
          <w:drawing>
            <wp:anchor distT="0" distB="0" distL="114300" distR="114300" simplePos="0" relativeHeight="251662336" behindDoc="0" locked="0" layoutInCell="1" allowOverlap="1" wp14:anchorId="7019358C" wp14:editId="1228377F">
              <wp:simplePos x="0" y="0"/>
              <wp:positionH relativeFrom="rightMargin">
                <wp:posOffset>363855</wp:posOffset>
              </wp:positionH>
              <wp:positionV relativeFrom="page">
                <wp:posOffset>10002520</wp:posOffset>
              </wp:positionV>
              <wp:extent cx="1249680" cy="542925"/>
              <wp:effectExtent l="0" t="0" r="7620" b="6350"/>
              <wp:wrapNone/>
              <wp:docPr id="5" name="Text Box 5"/>
              <wp:cNvGraphicFramePr/>
              <a:graphic xmlns:a="http://schemas.openxmlformats.org/drawingml/2006/main">
                <a:graphicData uri="http://schemas.microsoft.com/office/word/2010/wordprocessingShape">
                  <wps:wsp>
                    <wps:cNvSpPr txBox="1"/>
                    <wps:spPr>
                      <a:xfrm>
                        <a:off x="0" y="0"/>
                        <a:ext cx="124968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195B" w:rsidRPr="00094ABD" w:rsidRDefault="0014195B" w:rsidP="001E79D1">
                          <w:pPr>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1F6363">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1F6363">
                            <w:rPr>
                              <w:rStyle w:val="Sidetal"/>
                              <w:noProof/>
                            </w:rPr>
                            <w:t>58</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65pt;margin-top:787.6pt;width:98.4pt;height:42.7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BdAIAAFIFAAAOAAAAZHJzL2Uyb0RvYy54bWysVN9P2zAQfp+0/8Hy+0jpKIKKFHUgpkkI&#10;EDDx7Do2jeb4PNtt0v31++wkBbG9MO3Fufi+O9+P7+7svGsM2yofarIlPzyYcKaspKq2zyX//nj1&#10;6YSzEIWthCGrSr5TgZ8vPn44a91cTWlNplKewYkN89aVfB2jmxdFkGvViHBATlkoNflGRPz656Ly&#10;ooX3xhTTyeS4aMlXzpNUIeD2slfyRfavtZLxVuugIjMlR2wxnz6fq3QWizMxf/bCrWs5hCH+IYpG&#10;1BaP7l1diijYxtd/uGpq6SmQjgeSmoK0rqXKOSCbw8mbbB7WwqmcC4oT3L5M4f+5lTfbO8/qquQz&#10;zqxo0KJH1UX2hTo2S9VpXZgD9OAAix2u0eXxPuAyJd1p36Qv0mHQo867fW2TM5mMpkenxydQSehm&#10;R9PTaXZfvFg7H+JXRQ1LQsk9epdLKrbXISISQEdIeszSVW1M7p+xrC358efZJBvsNbAwNmFVZsLg&#10;JmXUR56luDMqYYy9VxqVyAmki8xBdWE82wqwR0ipbMy5Z79AJ5RGEO8xHPAvUb3HuM9jfJls3Bs3&#10;tSWfs38TdvVjDFn3eBTyVd5JjN2qGzq9omqHRnvqByU4eVWjG9cixDvhMRloIKY93uLQhlB1GiTO&#10;1uR//e0+4UFYaDlrMWklDz83wivOzDcLKqexHAU/CqtRsJvmglD+Q+wRJ7MIAx/NKGpPzROWwDK9&#10;ApWwEm+VPI7iReznHUtEquUygzB8TsRr++Bkcp26kbj12D0J7wYCRlD3hsYZFPM3POyxmShuuYlg&#10;YyZpKmhfxaHQGNzM3WHJpM3w+j+jXlbh4jcAAAD//wMAUEsDBBQABgAIAAAAIQCU6TcH4QAAAAwB&#10;AAAPAAAAZHJzL2Rvd25yZXYueG1sTI9BT4QwEIXvJv6HZky8ue2igEHKxhjdg56WNcbjLC0UpS2h&#10;XRb99Y4nPc6bN2++V24WO7BZT6H3TsJ6JYBp13jVu07C6/7p6hZYiOgUDt5pCV86wKY6PyuxUP7k&#10;dnquY8coxIUCJZgYx4Lz0BhtMaz8qB3tWj9ZjDROHVcTnijcDjwRIuMWe0cfDI76wejmsz5awnh7&#10;EXb73Zp3+4xtqM1+3j5+SHl5sdzfAYt6iX9m+MWnG6iI6eCPTgU2SEjza3KSnuZpAowcSXqzBnYg&#10;KctEDrwq+f8S1Q8AAAD//wMAUEsBAi0AFAAGAAgAAAAhALaDOJL+AAAA4QEAABMAAAAAAAAAAAAA&#10;AAAAAAAAAFtDb250ZW50X1R5cGVzXS54bWxQSwECLQAUAAYACAAAACEAOP0h/9YAAACUAQAACwAA&#10;AAAAAAAAAAAAAAAvAQAAX3JlbHMvLnJlbHNQSwECLQAUAAYACAAAACEAEffwwXQCAABSBQAADgAA&#10;AAAAAAAAAAAAAAAuAgAAZHJzL2Uyb0RvYy54bWxQSwECLQAUAAYACAAAACEAlOk3B+EAAAAMAQAA&#10;DwAAAAAAAAAAAAAAAADOBAAAZHJzL2Rvd25yZXYueG1sUEsFBgAAAAAEAAQA8wAAANwFAAAAAA==&#10;" filled="f" stroked="f" strokeweight=".5pt">
              <v:textbox style="mso-fit-shape-to-text:t" inset="0,0,0,0">
                <w:txbxContent>
                  <w:p w:rsidR="0014195B" w:rsidRPr="00094ABD" w:rsidRDefault="0014195B" w:rsidP="001E79D1">
                    <w:pPr>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1F6363">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1F6363">
                      <w:rPr>
                        <w:rStyle w:val="Sidetal"/>
                        <w:noProof/>
                      </w:rPr>
                      <w:t>58</w:t>
                    </w:r>
                    <w:r w:rsidRPr="00094ABD">
                      <w:rPr>
                        <w:rStyle w:val="Sidetal"/>
                      </w:rPr>
                      <w:fldChar w:fldCharType="end"/>
                    </w:r>
                  </w:p>
                </w:txbxContent>
              </v:textbox>
              <w10:wrap anchorx="margin" anchory="page"/>
            </v:shape>
          </w:pict>
        </mc:Fallback>
      </mc:AlternateContent>
    </w:r>
    <w:r>
      <w:rPr>
        <w:noProof/>
        <w:lang w:eastAsia="da-DK"/>
      </w:rPr>
      <w:drawing>
        <wp:anchor distT="0" distB="0" distL="114300" distR="114300" simplePos="0" relativeHeight="251669504" behindDoc="0" locked="0" layoutInCell="1" allowOverlap="1" wp14:anchorId="2BE5AB60" wp14:editId="24EC4A1C">
          <wp:simplePos x="0" y="0"/>
          <wp:positionH relativeFrom="page">
            <wp:posOffset>5929630</wp:posOffset>
          </wp:positionH>
          <wp:positionV relativeFrom="page">
            <wp:posOffset>10261600</wp:posOffset>
          </wp:positionV>
          <wp:extent cx="1270800" cy="79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5B" w:rsidRPr="00094ABD" w:rsidRDefault="0014195B" w:rsidP="00C51167">
    <w:pPr>
      <w:pStyle w:val="Sidefod"/>
    </w:pPr>
    <w:r>
      <w:rPr>
        <w:noProof/>
        <w:lang w:eastAsia="da-DK"/>
      </w:rPr>
      <w:drawing>
        <wp:anchor distT="0" distB="0" distL="114300" distR="114300" simplePos="0" relativeHeight="251667456" behindDoc="0" locked="0" layoutInCell="1" allowOverlap="1" wp14:anchorId="5B395E86" wp14:editId="42EC1C63">
          <wp:simplePos x="0" y="0"/>
          <wp:positionH relativeFrom="page">
            <wp:posOffset>5930900</wp:posOffset>
          </wp:positionH>
          <wp:positionV relativeFrom="page">
            <wp:posOffset>10261600</wp:posOffset>
          </wp:positionV>
          <wp:extent cx="1270800" cy="7942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4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95B" w:rsidRDefault="0014195B" w:rsidP="009E4B94">
      <w:pPr>
        <w:spacing w:line="240" w:lineRule="auto"/>
      </w:pPr>
      <w:r>
        <w:separator/>
      </w:r>
    </w:p>
  </w:footnote>
  <w:footnote w:type="continuationSeparator" w:id="0">
    <w:p w:rsidR="0014195B" w:rsidRDefault="0014195B"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5B" w:rsidRDefault="0014195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5B" w:rsidRDefault="0014195B">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5B" w:rsidRDefault="0014195B" w:rsidP="00CE262C">
    <w:pPr>
      <w:pStyle w:val="Sidehoved"/>
    </w:pPr>
    <w:r>
      <w:rPr>
        <w:noProof/>
        <w:lang w:eastAsia="da-DK"/>
      </w:rPr>
      <w:drawing>
        <wp:anchor distT="0" distB="0" distL="114300" distR="114300" simplePos="0" relativeHeight="251666432" behindDoc="0" locked="0" layoutInCell="1" allowOverlap="1" wp14:anchorId="17E3CB8C" wp14:editId="19047641">
          <wp:simplePos x="0" y="0"/>
          <wp:positionH relativeFrom="page">
            <wp:posOffset>3009900</wp:posOffset>
          </wp:positionH>
          <wp:positionV relativeFrom="page">
            <wp:posOffset>487680</wp:posOffset>
          </wp:positionV>
          <wp:extent cx="1546860" cy="4114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ev.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860" cy="411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1DB1369D"/>
    <w:multiLevelType w:val="hybridMultilevel"/>
    <w:tmpl w:val="DE54D0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EA3006D"/>
    <w:multiLevelType w:val="hybridMultilevel"/>
    <w:tmpl w:val="EED8633C"/>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1">
    <w:nsid w:val="1EE56D18"/>
    <w:multiLevelType w:val="multilevel"/>
    <w:tmpl w:val="1B68D496"/>
    <w:lvl w:ilvl="0">
      <w:start w:val="1"/>
      <w:numFmt w:val="bullet"/>
      <w:lvlRestart w:val="0"/>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abstractNum w:abstractNumId="12">
    <w:nsid w:val="282D0B46"/>
    <w:multiLevelType w:val="multilevel"/>
    <w:tmpl w:val="2CBEFABA"/>
    <w:lvl w:ilvl="0">
      <w:start w:val="1"/>
      <w:numFmt w:val="bullet"/>
      <w:lvlRestart w:val="0"/>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abstractNum w:abstractNumId="13">
    <w:nsid w:val="495A46DB"/>
    <w:multiLevelType w:val="multilevel"/>
    <w:tmpl w:val="3EEA2512"/>
    <w:lvl w:ilvl="0">
      <w:start w:val="1"/>
      <w:numFmt w:val="bullet"/>
      <w:lvlRestart w:val="0"/>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abstractNum w:abstractNumId="14">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5">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5"/>
  </w:num>
  <w:num w:numId="2">
    <w:abstractNumId w:val="7"/>
  </w:num>
  <w:num w:numId="3">
    <w:abstractNumId w:val="6"/>
  </w:num>
  <w:num w:numId="4">
    <w:abstractNumId w:val="5"/>
  </w:num>
  <w:num w:numId="5">
    <w:abstractNumId w:val="4"/>
  </w:num>
  <w:num w:numId="6">
    <w:abstractNumId w:val="14"/>
  </w:num>
  <w:num w:numId="7">
    <w:abstractNumId w:val="3"/>
  </w:num>
  <w:num w:numId="8">
    <w:abstractNumId w:val="2"/>
  </w:num>
  <w:num w:numId="9">
    <w:abstractNumId w:val="1"/>
  </w:num>
  <w:num w:numId="10">
    <w:abstractNumId w:val="0"/>
  </w:num>
  <w:num w:numId="11">
    <w:abstractNumId w:val="8"/>
  </w:num>
  <w:num w:numId="12">
    <w:abstractNumId w:val="14"/>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num>
  <w:num w:numId="14">
    <w:abstractNumId w:val="9"/>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attachedTemplate r:id="rId1"/>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EE"/>
    <w:rsid w:val="00003EB4"/>
    <w:rsid w:val="00004865"/>
    <w:rsid w:val="00005DCE"/>
    <w:rsid w:val="00006F66"/>
    <w:rsid w:val="0000703F"/>
    <w:rsid w:val="00014158"/>
    <w:rsid w:val="00014626"/>
    <w:rsid w:val="0001534C"/>
    <w:rsid w:val="00017063"/>
    <w:rsid w:val="00017586"/>
    <w:rsid w:val="0002656E"/>
    <w:rsid w:val="00026EC9"/>
    <w:rsid w:val="00030F87"/>
    <w:rsid w:val="00035CF6"/>
    <w:rsid w:val="0003629D"/>
    <w:rsid w:val="0004002B"/>
    <w:rsid w:val="000423FF"/>
    <w:rsid w:val="00044850"/>
    <w:rsid w:val="00045606"/>
    <w:rsid w:val="00045E50"/>
    <w:rsid w:val="00055F26"/>
    <w:rsid w:val="00062109"/>
    <w:rsid w:val="00064ABD"/>
    <w:rsid w:val="00065144"/>
    <w:rsid w:val="00066A26"/>
    <w:rsid w:val="000704B4"/>
    <w:rsid w:val="00080A5F"/>
    <w:rsid w:val="00081169"/>
    <w:rsid w:val="000939E5"/>
    <w:rsid w:val="000945AB"/>
    <w:rsid w:val="00094ABD"/>
    <w:rsid w:val="00094B38"/>
    <w:rsid w:val="000A018B"/>
    <w:rsid w:val="000A2D31"/>
    <w:rsid w:val="000A42E7"/>
    <w:rsid w:val="000A44D6"/>
    <w:rsid w:val="000B0812"/>
    <w:rsid w:val="000B18B0"/>
    <w:rsid w:val="000B2946"/>
    <w:rsid w:val="000B4F05"/>
    <w:rsid w:val="000B5326"/>
    <w:rsid w:val="000C30D0"/>
    <w:rsid w:val="000C4289"/>
    <w:rsid w:val="000C589D"/>
    <w:rsid w:val="000C5EE1"/>
    <w:rsid w:val="000C5F4B"/>
    <w:rsid w:val="000C6781"/>
    <w:rsid w:val="000D615F"/>
    <w:rsid w:val="000D6548"/>
    <w:rsid w:val="000E1F36"/>
    <w:rsid w:val="000E5775"/>
    <w:rsid w:val="000F015E"/>
    <w:rsid w:val="000F4D15"/>
    <w:rsid w:val="000F5846"/>
    <w:rsid w:val="00105FA8"/>
    <w:rsid w:val="00121584"/>
    <w:rsid w:val="00122315"/>
    <w:rsid w:val="00122C71"/>
    <w:rsid w:val="0012378C"/>
    <w:rsid w:val="001278A8"/>
    <w:rsid w:val="00127940"/>
    <w:rsid w:val="001316B3"/>
    <w:rsid w:val="00131F5D"/>
    <w:rsid w:val="0013244F"/>
    <w:rsid w:val="00132D80"/>
    <w:rsid w:val="00135203"/>
    <w:rsid w:val="001405FA"/>
    <w:rsid w:val="0014195B"/>
    <w:rsid w:val="001429F5"/>
    <w:rsid w:val="00143614"/>
    <w:rsid w:val="00145B21"/>
    <w:rsid w:val="001465F2"/>
    <w:rsid w:val="00151675"/>
    <w:rsid w:val="00152089"/>
    <w:rsid w:val="001537C6"/>
    <w:rsid w:val="00153F40"/>
    <w:rsid w:val="001566DD"/>
    <w:rsid w:val="00156DF3"/>
    <w:rsid w:val="00161AF0"/>
    <w:rsid w:val="00161C77"/>
    <w:rsid w:val="00163592"/>
    <w:rsid w:val="0016460D"/>
    <w:rsid w:val="00165D2F"/>
    <w:rsid w:val="00172241"/>
    <w:rsid w:val="00177552"/>
    <w:rsid w:val="0018067F"/>
    <w:rsid w:val="00180787"/>
    <w:rsid w:val="00180E89"/>
    <w:rsid w:val="00182651"/>
    <w:rsid w:val="00182863"/>
    <w:rsid w:val="00182FDC"/>
    <w:rsid w:val="001863A7"/>
    <w:rsid w:val="00190D56"/>
    <w:rsid w:val="00191EA0"/>
    <w:rsid w:val="001948A2"/>
    <w:rsid w:val="001952F0"/>
    <w:rsid w:val="00195FA0"/>
    <w:rsid w:val="001978A6"/>
    <w:rsid w:val="001A2678"/>
    <w:rsid w:val="001A36BC"/>
    <w:rsid w:val="001A60E7"/>
    <w:rsid w:val="001A7FD0"/>
    <w:rsid w:val="001B42CC"/>
    <w:rsid w:val="001B5BE3"/>
    <w:rsid w:val="001C154F"/>
    <w:rsid w:val="001C4C7A"/>
    <w:rsid w:val="001D0093"/>
    <w:rsid w:val="001D075B"/>
    <w:rsid w:val="001D1EDD"/>
    <w:rsid w:val="001D6BD9"/>
    <w:rsid w:val="001E2BC7"/>
    <w:rsid w:val="001E79D1"/>
    <w:rsid w:val="001E7E23"/>
    <w:rsid w:val="001F032B"/>
    <w:rsid w:val="001F0ED3"/>
    <w:rsid w:val="001F374B"/>
    <w:rsid w:val="001F6363"/>
    <w:rsid w:val="00203DE6"/>
    <w:rsid w:val="00207BEC"/>
    <w:rsid w:val="002100F3"/>
    <w:rsid w:val="0021491E"/>
    <w:rsid w:val="00215B5B"/>
    <w:rsid w:val="002243D1"/>
    <w:rsid w:val="00224650"/>
    <w:rsid w:val="0022582F"/>
    <w:rsid w:val="00227056"/>
    <w:rsid w:val="002276F2"/>
    <w:rsid w:val="002301C3"/>
    <w:rsid w:val="00230C0F"/>
    <w:rsid w:val="00233682"/>
    <w:rsid w:val="00243D6B"/>
    <w:rsid w:val="00244D70"/>
    <w:rsid w:val="002460CF"/>
    <w:rsid w:val="002514F3"/>
    <w:rsid w:val="0026468A"/>
    <w:rsid w:val="00267514"/>
    <w:rsid w:val="00271115"/>
    <w:rsid w:val="00274549"/>
    <w:rsid w:val="00276A33"/>
    <w:rsid w:val="002870F4"/>
    <w:rsid w:val="002960F7"/>
    <w:rsid w:val="002963C0"/>
    <w:rsid w:val="002B3C73"/>
    <w:rsid w:val="002B4018"/>
    <w:rsid w:val="002B5B82"/>
    <w:rsid w:val="002B62D7"/>
    <w:rsid w:val="002C258E"/>
    <w:rsid w:val="002C475A"/>
    <w:rsid w:val="002C5004"/>
    <w:rsid w:val="002D1BB1"/>
    <w:rsid w:val="002E03B3"/>
    <w:rsid w:val="002E233E"/>
    <w:rsid w:val="002E2B67"/>
    <w:rsid w:val="002E30A1"/>
    <w:rsid w:val="002E448B"/>
    <w:rsid w:val="002E6B15"/>
    <w:rsid w:val="002E74A4"/>
    <w:rsid w:val="002F1039"/>
    <w:rsid w:val="00302887"/>
    <w:rsid w:val="00306328"/>
    <w:rsid w:val="003075A8"/>
    <w:rsid w:val="00310554"/>
    <w:rsid w:val="00321DA8"/>
    <w:rsid w:val="00330E4B"/>
    <w:rsid w:val="003343D8"/>
    <w:rsid w:val="00342243"/>
    <w:rsid w:val="00345C1B"/>
    <w:rsid w:val="00351C70"/>
    <w:rsid w:val="003549A7"/>
    <w:rsid w:val="0036234A"/>
    <w:rsid w:val="00363175"/>
    <w:rsid w:val="00365144"/>
    <w:rsid w:val="00374F99"/>
    <w:rsid w:val="00386E86"/>
    <w:rsid w:val="00387934"/>
    <w:rsid w:val="00390CD6"/>
    <w:rsid w:val="00394E42"/>
    <w:rsid w:val="003A0D59"/>
    <w:rsid w:val="003B3246"/>
    <w:rsid w:val="003B35B0"/>
    <w:rsid w:val="003C4F9F"/>
    <w:rsid w:val="003C60F1"/>
    <w:rsid w:val="003D1951"/>
    <w:rsid w:val="003D6AA9"/>
    <w:rsid w:val="003E1CA1"/>
    <w:rsid w:val="003E32EE"/>
    <w:rsid w:val="003F19FB"/>
    <w:rsid w:val="003F1CA7"/>
    <w:rsid w:val="003F52AC"/>
    <w:rsid w:val="0040227D"/>
    <w:rsid w:val="00404BF7"/>
    <w:rsid w:val="0041181A"/>
    <w:rsid w:val="0041222F"/>
    <w:rsid w:val="00413DDC"/>
    <w:rsid w:val="004141C6"/>
    <w:rsid w:val="00414B10"/>
    <w:rsid w:val="004150AE"/>
    <w:rsid w:val="00415896"/>
    <w:rsid w:val="00416196"/>
    <w:rsid w:val="004228D7"/>
    <w:rsid w:val="00424709"/>
    <w:rsid w:val="00425F90"/>
    <w:rsid w:val="00427407"/>
    <w:rsid w:val="00434CC7"/>
    <w:rsid w:val="0043516F"/>
    <w:rsid w:val="00437B8B"/>
    <w:rsid w:val="00446687"/>
    <w:rsid w:val="0045228C"/>
    <w:rsid w:val="00452E59"/>
    <w:rsid w:val="00455537"/>
    <w:rsid w:val="00456371"/>
    <w:rsid w:val="004635A5"/>
    <w:rsid w:val="00466136"/>
    <w:rsid w:val="00472AC8"/>
    <w:rsid w:val="004755BB"/>
    <w:rsid w:val="0048140C"/>
    <w:rsid w:val="0048350C"/>
    <w:rsid w:val="00484640"/>
    <w:rsid w:val="00491D5C"/>
    <w:rsid w:val="004930CB"/>
    <w:rsid w:val="004A5600"/>
    <w:rsid w:val="004A74F8"/>
    <w:rsid w:val="004A76ED"/>
    <w:rsid w:val="004B0431"/>
    <w:rsid w:val="004B1832"/>
    <w:rsid w:val="004B241E"/>
    <w:rsid w:val="004B5150"/>
    <w:rsid w:val="004B79BA"/>
    <w:rsid w:val="004C01B2"/>
    <w:rsid w:val="004C0FD1"/>
    <w:rsid w:val="004C4F25"/>
    <w:rsid w:val="004C7A3A"/>
    <w:rsid w:val="004D0057"/>
    <w:rsid w:val="004D0A20"/>
    <w:rsid w:val="004D2BD7"/>
    <w:rsid w:val="004D46CB"/>
    <w:rsid w:val="004D5F31"/>
    <w:rsid w:val="004D794A"/>
    <w:rsid w:val="004E4515"/>
    <w:rsid w:val="004E5FA3"/>
    <w:rsid w:val="00501EE5"/>
    <w:rsid w:val="00503680"/>
    <w:rsid w:val="00503950"/>
    <w:rsid w:val="00504882"/>
    <w:rsid w:val="00512E3A"/>
    <w:rsid w:val="00514C82"/>
    <w:rsid w:val="00516D87"/>
    <w:rsid w:val="00522DA7"/>
    <w:rsid w:val="00522F62"/>
    <w:rsid w:val="00523C2A"/>
    <w:rsid w:val="00523C49"/>
    <w:rsid w:val="0052543C"/>
    <w:rsid w:val="00525897"/>
    <w:rsid w:val="00530A82"/>
    <w:rsid w:val="00534B31"/>
    <w:rsid w:val="00535188"/>
    <w:rsid w:val="0053662E"/>
    <w:rsid w:val="00546077"/>
    <w:rsid w:val="005557E1"/>
    <w:rsid w:val="00562DFF"/>
    <w:rsid w:val="00563829"/>
    <w:rsid w:val="005726A4"/>
    <w:rsid w:val="005809A3"/>
    <w:rsid w:val="00581DBE"/>
    <w:rsid w:val="00582B99"/>
    <w:rsid w:val="00585485"/>
    <w:rsid w:val="005A28D4"/>
    <w:rsid w:val="005A41B5"/>
    <w:rsid w:val="005A55FC"/>
    <w:rsid w:val="005B4028"/>
    <w:rsid w:val="005C3903"/>
    <w:rsid w:val="005C5F97"/>
    <w:rsid w:val="005C7CDE"/>
    <w:rsid w:val="005D2D90"/>
    <w:rsid w:val="005D2FDB"/>
    <w:rsid w:val="005E4733"/>
    <w:rsid w:val="005F1437"/>
    <w:rsid w:val="005F1580"/>
    <w:rsid w:val="005F1A8A"/>
    <w:rsid w:val="005F3493"/>
    <w:rsid w:val="005F3ED8"/>
    <w:rsid w:val="005F6563"/>
    <w:rsid w:val="00600E3E"/>
    <w:rsid w:val="006224BC"/>
    <w:rsid w:val="00622C50"/>
    <w:rsid w:val="00624509"/>
    <w:rsid w:val="0062759C"/>
    <w:rsid w:val="0063034C"/>
    <w:rsid w:val="0063712D"/>
    <w:rsid w:val="00637CAF"/>
    <w:rsid w:val="00642CBC"/>
    <w:rsid w:val="006458A3"/>
    <w:rsid w:val="006472E9"/>
    <w:rsid w:val="00654669"/>
    <w:rsid w:val="00655B49"/>
    <w:rsid w:val="00663732"/>
    <w:rsid w:val="00664C7B"/>
    <w:rsid w:val="0067016D"/>
    <w:rsid w:val="0067143B"/>
    <w:rsid w:val="00672245"/>
    <w:rsid w:val="006723CA"/>
    <w:rsid w:val="00673110"/>
    <w:rsid w:val="0067386E"/>
    <w:rsid w:val="00674A81"/>
    <w:rsid w:val="00675F03"/>
    <w:rsid w:val="0067684A"/>
    <w:rsid w:val="006768ED"/>
    <w:rsid w:val="006814A6"/>
    <w:rsid w:val="00681D83"/>
    <w:rsid w:val="00683C33"/>
    <w:rsid w:val="006900C2"/>
    <w:rsid w:val="00691210"/>
    <w:rsid w:val="00694421"/>
    <w:rsid w:val="006954FD"/>
    <w:rsid w:val="0069734D"/>
    <w:rsid w:val="006B0F61"/>
    <w:rsid w:val="006B2E45"/>
    <w:rsid w:val="006B30A9"/>
    <w:rsid w:val="006B725E"/>
    <w:rsid w:val="006D6049"/>
    <w:rsid w:val="006D65F9"/>
    <w:rsid w:val="006D7F02"/>
    <w:rsid w:val="006E01B0"/>
    <w:rsid w:val="006E17FD"/>
    <w:rsid w:val="006E30B9"/>
    <w:rsid w:val="006F0F43"/>
    <w:rsid w:val="006F21E6"/>
    <w:rsid w:val="006F342F"/>
    <w:rsid w:val="006F6849"/>
    <w:rsid w:val="0070267E"/>
    <w:rsid w:val="00703B3F"/>
    <w:rsid w:val="0070651C"/>
    <w:rsid w:val="00706E32"/>
    <w:rsid w:val="00707273"/>
    <w:rsid w:val="00707495"/>
    <w:rsid w:val="00707567"/>
    <w:rsid w:val="00711802"/>
    <w:rsid w:val="00713F98"/>
    <w:rsid w:val="007154F3"/>
    <w:rsid w:val="00720A5D"/>
    <w:rsid w:val="007229C2"/>
    <w:rsid w:val="007239BF"/>
    <w:rsid w:val="0072538E"/>
    <w:rsid w:val="007327A9"/>
    <w:rsid w:val="00732B4F"/>
    <w:rsid w:val="007402F4"/>
    <w:rsid w:val="00745720"/>
    <w:rsid w:val="007546AF"/>
    <w:rsid w:val="00765934"/>
    <w:rsid w:val="00766995"/>
    <w:rsid w:val="00770040"/>
    <w:rsid w:val="00770410"/>
    <w:rsid w:val="00772F4B"/>
    <w:rsid w:val="00773919"/>
    <w:rsid w:val="00775409"/>
    <w:rsid w:val="00781340"/>
    <w:rsid w:val="00784EB6"/>
    <w:rsid w:val="00786FCF"/>
    <w:rsid w:val="0078774E"/>
    <w:rsid w:val="00791190"/>
    <w:rsid w:val="00793D5A"/>
    <w:rsid w:val="00796067"/>
    <w:rsid w:val="007A0F74"/>
    <w:rsid w:val="007A1B96"/>
    <w:rsid w:val="007A2D34"/>
    <w:rsid w:val="007A40B1"/>
    <w:rsid w:val="007B6E82"/>
    <w:rsid w:val="007C414B"/>
    <w:rsid w:val="007D031A"/>
    <w:rsid w:val="007D268B"/>
    <w:rsid w:val="007D7335"/>
    <w:rsid w:val="007E0E19"/>
    <w:rsid w:val="007E2CF5"/>
    <w:rsid w:val="007E31A6"/>
    <w:rsid w:val="007E373C"/>
    <w:rsid w:val="007F5C9F"/>
    <w:rsid w:val="007F5DF9"/>
    <w:rsid w:val="00801F34"/>
    <w:rsid w:val="00810C1E"/>
    <w:rsid w:val="008110A6"/>
    <w:rsid w:val="0081333A"/>
    <w:rsid w:val="0081434D"/>
    <w:rsid w:val="00815F28"/>
    <w:rsid w:val="00824115"/>
    <w:rsid w:val="0083221A"/>
    <w:rsid w:val="00833704"/>
    <w:rsid w:val="00833B4F"/>
    <w:rsid w:val="00836932"/>
    <w:rsid w:val="008370FB"/>
    <w:rsid w:val="008408FA"/>
    <w:rsid w:val="00841169"/>
    <w:rsid w:val="00850E4C"/>
    <w:rsid w:val="00852F37"/>
    <w:rsid w:val="008531FB"/>
    <w:rsid w:val="00853746"/>
    <w:rsid w:val="008570E7"/>
    <w:rsid w:val="008579DF"/>
    <w:rsid w:val="00860578"/>
    <w:rsid w:val="00864D45"/>
    <w:rsid w:val="008662D3"/>
    <w:rsid w:val="008673CD"/>
    <w:rsid w:val="00867AAF"/>
    <w:rsid w:val="008710FD"/>
    <w:rsid w:val="00872A31"/>
    <w:rsid w:val="0087656B"/>
    <w:rsid w:val="00877880"/>
    <w:rsid w:val="00883C44"/>
    <w:rsid w:val="00884082"/>
    <w:rsid w:val="00885690"/>
    <w:rsid w:val="00887348"/>
    <w:rsid w:val="00892D08"/>
    <w:rsid w:val="00893791"/>
    <w:rsid w:val="008938B2"/>
    <w:rsid w:val="00894A28"/>
    <w:rsid w:val="008A1CD8"/>
    <w:rsid w:val="008B506D"/>
    <w:rsid w:val="008B5B59"/>
    <w:rsid w:val="008B6AAB"/>
    <w:rsid w:val="008B797F"/>
    <w:rsid w:val="008C1A47"/>
    <w:rsid w:val="008C4135"/>
    <w:rsid w:val="008C569D"/>
    <w:rsid w:val="008C640E"/>
    <w:rsid w:val="008C798E"/>
    <w:rsid w:val="008D000A"/>
    <w:rsid w:val="008D2509"/>
    <w:rsid w:val="008D5A02"/>
    <w:rsid w:val="008D74FB"/>
    <w:rsid w:val="008D7934"/>
    <w:rsid w:val="008E2ECE"/>
    <w:rsid w:val="008E2F02"/>
    <w:rsid w:val="008E4C26"/>
    <w:rsid w:val="008E56B6"/>
    <w:rsid w:val="008E5A6D"/>
    <w:rsid w:val="008E7D2A"/>
    <w:rsid w:val="008F0B60"/>
    <w:rsid w:val="008F32DF"/>
    <w:rsid w:val="008F4D20"/>
    <w:rsid w:val="008F5726"/>
    <w:rsid w:val="008F57A2"/>
    <w:rsid w:val="008F6A93"/>
    <w:rsid w:val="00902C3D"/>
    <w:rsid w:val="009108C7"/>
    <w:rsid w:val="0091386D"/>
    <w:rsid w:val="00913FB6"/>
    <w:rsid w:val="0092171B"/>
    <w:rsid w:val="009327C6"/>
    <w:rsid w:val="00933B7A"/>
    <w:rsid w:val="00943DDB"/>
    <w:rsid w:val="009441F7"/>
    <w:rsid w:val="00947BA0"/>
    <w:rsid w:val="00950375"/>
    <w:rsid w:val="00950C32"/>
    <w:rsid w:val="00951B25"/>
    <w:rsid w:val="009527EF"/>
    <w:rsid w:val="0095523F"/>
    <w:rsid w:val="009618FB"/>
    <w:rsid w:val="009634BA"/>
    <w:rsid w:val="0096444F"/>
    <w:rsid w:val="00967833"/>
    <w:rsid w:val="009678F1"/>
    <w:rsid w:val="009716C4"/>
    <w:rsid w:val="009738E0"/>
    <w:rsid w:val="00975868"/>
    <w:rsid w:val="00983B74"/>
    <w:rsid w:val="00986D8F"/>
    <w:rsid w:val="009874B7"/>
    <w:rsid w:val="00990263"/>
    <w:rsid w:val="009A1109"/>
    <w:rsid w:val="009A2571"/>
    <w:rsid w:val="009A36E0"/>
    <w:rsid w:val="009A4CCC"/>
    <w:rsid w:val="009B55FB"/>
    <w:rsid w:val="009C1470"/>
    <w:rsid w:val="009D200D"/>
    <w:rsid w:val="009D4F1E"/>
    <w:rsid w:val="009E1F67"/>
    <w:rsid w:val="009E4B94"/>
    <w:rsid w:val="009E67E0"/>
    <w:rsid w:val="009E6C35"/>
    <w:rsid w:val="009F18F2"/>
    <w:rsid w:val="009F37C1"/>
    <w:rsid w:val="009F523D"/>
    <w:rsid w:val="009F53D4"/>
    <w:rsid w:val="00A01B51"/>
    <w:rsid w:val="00A04601"/>
    <w:rsid w:val="00A058A7"/>
    <w:rsid w:val="00A1146B"/>
    <w:rsid w:val="00A115DB"/>
    <w:rsid w:val="00A126CF"/>
    <w:rsid w:val="00A15FC0"/>
    <w:rsid w:val="00A16AC8"/>
    <w:rsid w:val="00A16C58"/>
    <w:rsid w:val="00A239DF"/>
    <w:rsid w:val="00A24AB8"/>
    <w:rsid w:val="00A262CF"/>
    <w:rsid w:val="00A30808"/>
    <w:rsid w:val="00A30ADC"/>
    <w:rsid w:val="00A30F4B"/>
    <w:rsid w:val="00A3146F"/>
    <w:rsid w:val="00A32B33"/>
    <w:rsid w:val="00A32DE0"/>
    <w:rsid w:val="00A47285"/>
    <w:rsid w:val="00A51CFD"/>
    <w:rsid w:val="00A51E77"/>
    <w:rsid w:val="00A74830"/>
    <w:rsid w:val="00A76498"/>
    <w:rsid w:val="00A816C9"/>
    <w:rsid w:val="00A82CEA"/>
    <w:rsid w:val="00A93686"/>
    <w:rsid w:val="00A95CEF"/>
    <w:rsid w:val="00AA03FE"/>
    <w:rsid w:val="00AA23E6"/>
    <w:rsid w:val="00AA37B6"/>
    <w:rsid w:val="00AB149E"/>
    <w:rsid w:val="00AB29A0"/>
    <w:rsid w:val="00AB3463"/>
    <w:rsid w:val="00AB5B85"/>
    <w:rsid w:val="00AC0F0B"/>
    <w:rsid w:val="00AC5F42"/>
    <w:rsid w:val="00AD043D"/>
    <w:rsid w:val="00AD0C8A"/>
    <w:rsid w:val="00AE1404"/>
    <w:rsid w:val="00AE206C"/>
    <w:rsid w:val="00AE778B"/>
    <w:rsid w:val="00AF1CCA"/>
    <w:rsid w:val="00AF1D02"/>
    <w:rsid w:val="00AF2DBA"/>
    <w:rsid w:val="00B00891"/>
    <w:rsid w:val="00B00D92"/>
    <w:rsid w:val="00B03165"/>
    <w:rsid w:val="00B04660"/>
    <w:rsid w:val="00B06C9F"/>
    <w:rsid w:val="00B07859"/>
    <w:rsid w:val="00B15E0C"/>
    <w:rsid w:val="00B163AB"/>
    <w:rsid w:val="00B2177B"/>
    <w:rsid w:val="00B21DAA"/>
    <w:rsid w:val="00B22544"/>
    <w:rsid w:val="00B27DBE"/>
    <w:rsid w:val="00B300AB"/>
    <w:rsid w:val="00B31CF7"/>
    <w:rsid w:val="00B3548C"/>
    <w:rsid w:val="00B36CDB"/>
    <w:rsid w:val="00B421B6"/>
    <w:rsid w:val="00B42FC9"/>
    <w:rsid w:val="00B430B4"/>
    <w:rsid w:val="00B505A8"/>
    <w:rsid w:val="00B5082D"/>
    <w:rsid w:val="00B5346F"/>
    <w:rsid w:val="00B53CC9"/>
    <w:rsid w:val="00B547FE"/>
    <w:rsid w:val="00B56588"/>
    <w:rsid w:val="00B5688C"/>
    <w:rsid w:val="00B56AE1"/>
    <w:rsid w:val="00B56DF2"/>
    <w:rsid w:val="00B629F5"/>
    <w:rsid w:val="00B63A8B"/>
    <w:rsid w:val="00B63C3F"/>
    <w:rsid w:val="00B64C73"/>
    <w:rsid w:val="00B6504E"/>
    <w:rsid w:val="00B66DD6"/>
    <w:rsid w:val="00B715CA"/>
    <w:rsid w:val="00B73036"/>
    <w:rsid w:val="00B7397C"/>
    <w:rsid w:val="00B77C32"/>
    <w:rsid w:val="00B8028C"/>
    <w:rsid w:val="00B869D6"/>
    <w:rsid w:val="00B87180"/>
    <w:rsid w:val="00B9051E"/>
    <w:rsid w:val="00B90934"/>
    <w:rsid w:val="00B90C90"/>
    <w:rsid w:val="00B93951"/>
    <w:rsid w:val="00B9508F"/>
    <w:rsid w:val="00B96502"/>
    <w:rsid w:val="00B96937"/>
    <w:rsid w:val="00B96D2A"/>
    <w:rsid w:val="00BB1763"/>
    <w:rsid w:val="00BB277F"/>
    <w:rsid w:val="00BC1F3E"/>
    <w:rsid w:val="00BC22A9"/>
    <w:rsid w:val="00BC24ED"/>
    <w:rsid w:val="00BC350F"/>
    <w:rsid w:val="00BC590D"/>
    <w:rsid w:val="00BC76DE"/>
    <w:rsid w:val="00BD1CDD"/>
    <w:rsid w:val="00BD4B23"/>
    <w:rsid w:val="00BD59AB"/>
    <w:rsid w:val="00BD643C"/>
    <w:rsid w:val="00BD67C4"/>
    <w:rsid w:val="00BD78B5"/>
    <w:rsid w:val="00BD7FB9"/>
    <w:rsid w:val="00BE4B64"/>
    <w:rsid w:val="00BF28F1"/>
    <w:rsid w:val="00BF44AA"/>
    <w:rsid w:val="00BF70D8"/>
    <w:rsid w:val="00C0001A"/>
    <w:rsid w:val="00C14D7D"/>
    <w:rsid w:val="00C1635C"/>
    <w:rsid w:val="00C173F9"/>
    <w:rsid w:val="00C17497"/>
    <w:rsid w:val="00C20104"/>
    <w:rsid w:val="00C2115A"/>
    <w:rsid w:val="00C211E6"/>
    <w:rsid w:val="00C2169F"/>
    <w:rsid w:val="00C217E3"/>
    <w:rsid w:val="00C22768"/>
    <w:rsid w:val="00C2782C"/>
    <w:rsid w:val="00C278C2"/>
    <w:rsid w:val="00C310A8"/>
    <w:rsid w:val="00C31791"/>
    <w:rsid w:val="00C36F62"/>
    <w:rsid w:val="00C45ED2"/>
    <w:rsid w:val="00C45EEB"/>
    <w:rsid w:val="00C467AA"/>
    <w:rsid w:val="00C47ED2"/>
    <w:rsid w:val="00C50726"/>
    <w:rsid w:val="00C51167"/>
    <w:rsid w:val="00C513CA"/>
    <w:rsid w:val="00C51FC1"/>
    <w:rsid w:val="00C605DF"/>
    <w:rsid w:val="00C62DBD"/>
    <w:rsid w:val="00C66B4D"/>
    <w:rsid w:val="00C6764F"/>
    <w:rsid w:val="00C71C8E"/>
    <w:rsid w:val="00C72C50"/>
    <w:rsid w:val="00C76ABB"/>
    <w:rsid w:val="00C86D85"/>
    <w:rsid w:val="00C87589"/>
    <w:rsid w:val="00C87A24"/>
    <w:rsid w:val="00C90C24"/>
    <w:rsid w:val="00C91AD4"/>
    <w:rsid w:val="00C9481C"/>
    <w:rsid w:val="00CA174A"/>
    <w:rsid w:val="00CA61D4"/>
    <w:rsid w:val="00CA79BF"/>
    <w:rsid w:val="00CB33DF"/>
    <w:rsid w:val="00CB38D5"/>
    <w:rsid w:val="00CB6506"/>
    <w:rsid w:val="00CC0BE2"/>
    <w:rsid w:val="00CC342E"/>
    <w:rsid w:val="00CC6322"/>
    <w:rsid w:val="00CD5714"/>
    <w:rsid w:val="00CD6450"/>
    <w:rsid w:val="00CE05CC"/>
    <w:rsid w:val="00CE262C"/>
    <w:rsid w:val="00CE5C53"/>
    <w:rsid w:val="00CF37D2"/>
    <w:rsid w:val="00CF4374"/>
    <w:rsid w:val="00CF73BA"/>
    <w:rsid w:val="00D03300"/>
    <w:rsid w:val="00D0360E"/>
    <w:rsid w:val="00D10010"/>
    <w:rsid w:val="00D11ED1"/>
    <w:rsid w:val="00D21CAA"/>
    <w:rsid w:val="00D2248C"/>
    <w:rsid w:val="00D23FAB"/>
    <w:rsid w:val="00D243BB"/>
    <w:rsid w:val="00D25933"/>
    <w:rsid w:val="00D365CB"/>
    <w:rsid w:val="00D36A7A"/>
    <w:rsid w:val="00D3786F"/>
    <w:rsid w:val="00D42FEE"/>
    <w:rsid w:val="00D47958"/>
    <w:rsid w:val="00D66542"/>
    <w:rsid w:val="00D66E2C"/>
    <w:rsid w:val="00D70F94"/>
    <w:rsid w:val="00D7552E"/>
    <w:rsid w:val="00D7558A"/>
    <w:rsid w:val="00D766F7"/>
    <w:rsid w:val="00D7743D"/>
    <w:rsid w:val="00D83AF4"/>
    <w:rsid w:val="00D843E5"/>
    <w:rsid w:val="00D85CD8"/>
    <w:rsid w:val="00D9231A"/>
    <w:rsid w:val="00D9463D"/>
    <w:rsid w:val="00D94AA9"/>
    <w:rsid w:val="00D96141"/>
    <w:rsid w:val="00D96942"/>
    <w:rsid w:val="00DA47FD"/>
    <w:rsid w:val="00DA63DC"/>
    <w:rsid w:val="00DB03FB"/>
    <w:rsid w:val="00DB0C92"/>
    <w:rsid w:val="00DB31AF"/>
    <w:rsid w:val="00DB3E9A"/>
    <w:rsid w:val="00DB650D"/>
    <w:rsid w:val="00DB6E2D"/>
    <w:rsid w:val="00DB743D"/>
    <w:rsid w:val="00DC16E0"/>
    <w:rsid w:val="00DC2AB9"/>
    <w:rsid w:val="00DC2F98"/>
    <w:rsid w:val="00DC38FB"/>
    <w:rsid w:val="00DD200A"/>
    <w:rsid w:val="00DD2ADD"/>
    <w:rsid w:val="00DD3EC2"/>
    <w:rsid w:val="00DD4A74"/>
    <w:rsid w:val="00DD7A8D"/>
    <w:rsid w:val="00DE2B28"/>
    <w:rsid w:val="00DF0A61"/>
    <w:rsid w:val="00DF0E45"/>
    <w:rsid w:val="00DF0F9D"/>
    <w:rsid w:val="00DF207D"/>
    <w:rsid w:val="00DF4672"/>
    <w:rsid w:val="00E01B98"/>
    <w:rsid w:val="00E02699"/>
    <w:rsid w:val="00E05FF2"/>
    <w:rsid w:val="00E06924"/>
    <w:rsid w:val="00E117A9"/>
    <w:rsid w:val="00E11818"/>
    <w:rsid w:val="00E13E84"/>
    <w:rsid w:val="00E13F68"/>
    <w:rsid w:val="00E1438D"/>
    <w:rsid w:val="00E26493"/>
    <w:rsid w:val="00E30195"/>
    <w:rsid w:val="00E31A18"/>
    <w:rsid w:val="00E351ED"/>
    <w:rsid w:val="00E365B7"/>
    <w:rsid w:val="00E370C3"/>
    <w:rsid w:val="00E434D1"/>
    <w:rsid w:val="00E47932"/>
    <w:rsid w:val="00E55763"/>
    <w:rsid w:val="00E63348"/>
    <w:rsid w:val="00E64A82"/>
    <w:rsid w:val="00E66240"/>
    <w:rsid w:val="00E668C2"/>
    <w:rsid w:val="00E75668"/>
    <w:rsid w:val="00E75ED1"/>
    <w:rsid w:val="00E9241D"/>
    <w:rsid w:val="00E92EE3"/>
    <w:rsid w:val="00E95FC4"/>
    <w:rsid w:val="00EA582A"/>
    <w:rsid w:val="00EB02D8"/>
    <w:rsid w:val="00EB3C72"/>
    <w:rsid w:val="00EB603A"/>
    <w:rsid w:val="00EB6366"/>
    <w:rsid w:val="00EC242A"/>
    <w:rsid w:val="00EC56C2"/>
    <w:rsid w:val="00EC7D29"/>
    <w:rsid w:val="00ED3A84"/>
    <w:rsid w:val="00ED7096"/>
    <w:rsid w:val="00EE088D"/>
    <w:rsid w:val="00EE4C34"/>
    <w:rsid w:val="00EE6A4B"/>
    <w:rsid w:val="00EE74FC"/>
    <w:rsid w:val="00EE79C2"/>
    <w:rsid w:val="00EF0F9B"/>
    <w:rsid w:val="00EF2C0A"/>
    <w:rsid w:val="00EF404D"/>
    <w:rsid w:val="00EF55B3"/>
    <w:rsid w:val="00EF6E52"/>
    <w:rsid w:val="00EF6F3A"/>
    <w:rsid w:val="00F002D7"/>
    <w:rsid w:val="00F037F6"/>
    <w:rsid w:val="00F05EEC"/>
    <w:rsid w:val="00F14E60"/>
    <w:rsid w:val="00F20DB7"/>
    <w:rsid w:val="00F21F58"/>
    <w:rsid w:val="00F23AA3"/>
    <w:rsid w:val="00F26552"/>
    <w:rsid w:val="00F27318"/>
    <w:rsid w:val="00F2770A"/>
    <w:rsid w:val="00F34E84"/>
    <w:rsid w:val="00F35F4E"/>
    <w:rsid w:val="00F3630C"/>
    <w:rsid w:val="00F3703B"/>
    <w:rsid w:val="00F37F63"/>
    <w:rsid w:val="00F42D23"/>
    <w:rsid w:val="00F44124"/>
    <w:rsid w:val="00F45445"/>
    <w:rsid w:val="00F463C0"/>
    <w:rsid w:val="00F518F1"/>
    <w:rsid w:val="00F540A8"/>
    <w:rsid w:val="00F548F5"/>
    <w:rsid w:val="00F56089"/>
    <w:rsid w:val="00F6027B"/>
    <w:rsid w:val="00F62E01"/>
    <w:rsid w:val="00F63834"/>
    <w:rsid w:val="00F66450"/>
    <w:rsid w:val="00F72846"/>
    <w:rsid w:val="00F80385"/>
    <w:rsid w:val="00F84BA4"/>
    <w:rsid w:val="00F94967"/>
    <w:rsid w:val="00FA2B02"/>
    <w:rsid w:val="00FA401C"/>
    <w:rsid w:val="00FA56E5"/>
    <w:rsid w:val="00FA6475"/>
    <w:rsid w:val="00FA7255"/>
    <w:rsid w:val="00FB1FE9"/>
    <w:rsid w:val="00FB4B23"/>
    <w:rsid w:val="00FB7589"/>
    <w:rsid w:val="00FC4581"/>
    <w:rsid w:val="00FC4E3D"/>
    <w:rsid w:val="00FC511D"/>
    <w:rsid w:val="00FC6B3E"/>
    <w:rsid w:val="00FC7DC2"/>
    <w:rsid w:val="00FC7F59"/>
    <w:rsid w:val="00FE2C9C"/>
    <w:rsid w:val="00FE41E8"/>
    <w:rsid w:val="00FE41F7"/>
    <w:rsid w:val="00FE4980"/>
    <w:rsid w:val="00FF1AA2"/>
    <w:rsid w:val="00FF273A"/>
    <w:rsid w:val="00FF2CB3"/>
    <w:rsid w:val="00FF3395"/>
    <w:rsid w:val="00FF3A2A"/>
    <w:rsid w:val="00FF527A"/>
    <w:rsid w:val="00FF69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18"/>
        <w:szCs w:val="18"/>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
    <w:lsdException w:name="footnote reference" w:uiPriority="21"/>
    <w:lsdException w:name="table of authorities" w:uiPriority="9"/>
    <w:lsdException w:name="List Bullet" w:qFormat="1"/>
    <w:lsdException w:name="List Number" w:semiHidden="0" w:unhideWhenUsed="0" w:qFormat="1"/>
    <w:lsdException w:name="List 4" w:unhideWhenUsed="0"/>
    <w:lsdException w:name="List 5" w:unhideWhenUsed="0"/>
    <w:lsdException w:name="Title" w:semiHidden="0" w:uiPriority="10" w:unhideWhenUsed="0"/>
    <w:lsdException w:name="Default Paragraph Font" w:uiPriority="1"/>
    <w:lsdException w:name="Subtitle" w:semiHidden="0" w:uiPriority="11"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F37F63"/>
    <w:pPr>
      <w:spacing w:line="280" w:lineRule="atLeast"/>
    </w:pPr>
    <w:rPr>
      <w:rFonts w:ascii="Garamond" w:hAnsi="Garamond"/>
      <w:sz w:val="22"/>
    </w:rPr>
  </w:style>
  <w:style w:type="paragraph" w:styleId="Overskrift1">
    <w:name w:val="heading 1"/>
    <w:basedOn w:val="Normal"/>
    <w:next w:val="Normal"/>
    <w:link w:val="Overskrift1Tegn"/>
    <w:uiPriority w:val="1"/>
    <w:qFormat/>
    <w:rsid w:val="00AE1404"/>
    <w:pPr>
      <w:keepNext/>
      <w:keepLines/>
      <w:spacing w:line="360" w:lineRule="atLeast"/>
      <w:outlineLvl w:val="0"/>
    </w:pPr>
    <w:rPr>
      <w:rFonts w:ascii="Arial" w:eastAsiaTheme="majorEastAsia" w:hAnsi="Arial" w:cstheme="majorBidi"/>
      <w:b/>
      <w:bCs/>
      <w:spacing w:val="5"/>
      <w:sz w:val="28"/>
      <w:szCs w:val="28"/>
    </w:rPr>
  </w:style>
  <w:style w:type="paragraph" w:styleId="Overskrift2">
    <w:name w:val="heading 2"/>
    <w:basedOn w:val="Normal"/>
    <w:next w:val="Normal"/>
    <w:link w:val="Overskrift2Tegn"/>
    <w:uiPriority w:val="1"/>
    <w:qFormat/>
    <w:rsid w:val="00AE1404"/>
    <w:pPr>
      <w:keepNext/>
      <w:keepLines/>
      <w:outlineLvl w:val="1"/>
    </w:pPr>
    <w:rPr>
      <w:rFonts w:ascii="Arial" w:eastAsiaTheme="majorEastAsia" w:hAnsi="Arial" w:cstheme="majorBidi"/>
      <w:b/>
      <w:bCs/>
      <w:spacing w:val="5"/>
      <w:sz w:val="24"/>
      <w:szCs w:val="26"/>
    </w:rPr>
  </w:style>
  <w:style w:type="paragraph" w:styleId="Overskrift3">
    <w:name w:val="heading 3"/>
    <w:basedOn w:val="Normal"/>
    <w:next w:val="Normal"/>
    <w:link w:val="Overskrift3Tegn"/>
    <w:uiPriority w:val="1"/>
    <w:qFormat/>
    <w:rsid w:val="00AE1404"/>
    <w:pPr>
      <w:keepNext/>
      <w:keepLines/>
      <w:contextualSpacing/>
      <w:outlineLvl w:val="2"/>
    </w:pPr>
    <w:rPr>
      <w:rFonts w:ascii="Arial" w:eastAsiaTheme="majorEastAsia" w:hAnsi="Arial" w:cstheme="majorBidi"/>
      <w:b/>
      <w:bCs/>
      <w:spacing w:val="5"/>
      <w:sz w:val="20"/>
    </w:rPr>
  </w:style>
  <w:style w:type="paragraph" w:styleId="Overskrift4">
    <w:name w:val="heading 4"/>
    <w:basedOn w:val="Normal"/>
    <w:next w:val="Normal"/>
    <w:link w:val="Overskrift4Tegn"/>
    <w:uiPriority w:val="1"/>
    <w:rsid w:val="00AE1404"/>
    <w:pPr>
      <w:keepNext/>
      <w:keepLines/>
      <w:outlineLvl w:val="3"/>
    </w:pPr>
    <w:rPr>
      <w:rFonts w:ascii="Arial" w:eastAsiaTheme="majorEastAsia" w:hAnsi="Arial" w:cstheme="majorBidi"/>
      <w:b/>
      <w:bCs/>
      <w:iCs/>
      <w:spacing w:val="5"/>
      <w:sz w:val="18"/>
    </w:rPr>
  </w:style>
  <w:style w:type="paragraph" w:styleId="Overskrift5">
    <w:name w:val="heading 5"/>
    <w:basedOn w:val="Overskrift4"/>
    <w:next w:val="Normal"/>
    <w:link w:val="Overskrift5Tegn"/>
    <w:uiPriority w:val="1"/>
    <w:semiHidden/>
    <w:rsid w:val="00EF0F9B"/>
    <w:pPr>
      <w:outlineLvl w:val="4"/>
    </w:pPr>
  </w:style>
  <w:style w:type="paragraph" w:styleId="Overskrift6">
    <w:name w:val="heading 6"/>
    <w:basedOn w:val="Overskrift5"/>
    <w:next w:val="Normal"/>
    <w:link w:val="Overskrift6Tegn"/>
    <w:uiPriority w:val="1"/>
    <w:semiHidden/>
    <w:rsid w:val="00EF0F9B"/>
    <w:pPr>
      <w:outlineLvl w:val="5"/>
    </w:pPr>
  </w:style>
  <w:style w:type="paragraph" w:styleId="Overskrift7">
    <w:name w:val="heading 7"/>
    <w:basedOn w:val="Overskrift6"/>
    <w:next w:val="Normal"/>
    <w:link w:val="Overskrift7Tegn"/>
    <w:uiPriority w:val="1"/>
    <w:semiHidden/>
    <w:rsid w:val="00EF0F9B"/>
    <w:pPr>
      <w:outlineLvl w:val="6"/>
    </w:pPr>
  </w:style>
  <w:style w:type="paragraph" w:styleId="Overskrift8">
    <w:name w:val="heading 8"/>
    <w:basedOn w:val="Overskrift7"/>
    <w:next w:val="Normal"/>
    <w:link w:val="Overskrift8Tegn"/>
    <w:uiPriority w:val="1"/>
    <w:semiHidden/>
    <w:rsid w:val="00EF0F9B"/>
    <w:pPr>
      <w:outlineLvl w:val="7"/>
    </w:pPr>
  </w:style>
  <w:style w:type="paragraph" w:styleId="Overskrift9">
    <w:name w:val="heading 9"/>
    <w:basedOn w:val="Overskrift8"/>
    <w:next w:val="Normal"/>
    <w:link w:val="Overskrift9Tegn"/>
    <w:uiPriority w:val="1"/>
    <w:semiHidden/>
    <w:rsid w:val="00EF0F9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rsid w:val="00CE262C"/>
    <w:rPr>
      <w:rFonts w:ascii="Garamond" w:hAnsi="Garamond"/>
      <w:sz w:val="16"/>
    </w:rPr>
  </w:style>
  <w:style w:type="paragraph" w:styleId="Sidefod">
    <w:name w:val="footer"/>
    <w:basedOn w:val="Normal"/>
    <w:link w:val="SidefodTegn"/>
    <w:uiPriority w:val="21"/>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rsid w:val="00DC2AB9"/>
    <w:rPr>
      <w:rFonts w:ascii="Garamond" w:hAnsi="Garamond"/>
      <w:sz w:val="16"/>
    </w:rPr>
  </w:style>
  <w:style w:type="character" w:customStyle="1" w:styleId="Overskrift1Tegn">
    <w:name w:val="Overskrift 1 Tegn"/>
    <w:basedOn w:val="Standardskrifttypeiafsnit"/>
    <w:link w:val="Overskrift1"/>
    <w:uiPriority w:val="1"/>
    <w:rsid w:val="00AE1404"/>
    <w:rPr>
      <w:rFonts w:ascii="Arial" w:eastAsiaTheme="majorEastAsia" w:hAnsi="Arial" w:cstheme="majorBidi"/>
      <w:b/>
      <w:bCs/>
      <w:spacing w:val="5"/>
      <w:sz w:val="28"/>
      <w:szCs w:val="28"/>
    </w:rPr>
  </w:style>
  <w:style w:type="character" w:customStyle="1" w:styleId="Overskrift2Tegn">
    <w:name w:val="Overskrift 2 Tegn"/>
    <w:basedOn w:val="Standardskrifttypeiafsnit"/>
    <w:link w:val="Overskrift2"/>
    <w:uiPriority w:val="1"/>
    <w:rsid w:val="00AE1404"/>
    <w:rPr>
      <w:rFonts w:ascii="Arial" w:eastAsiaTheme="majorEastAsia" w:hAnsi="Arial" w:cstheme="majorBidi"/>
      <w:b/>
      <w:bCs/>
      <w:spacing w:val="5"/>
      <w:sz w:val="24"/>
      <w:szCs w:val="26"/>
    </w:rPr>
  </w:style>
  <w:style w:type="character" w:customStyle="1" w:styleId="Overskrift3Tegn">
    <w:name w:val="Overskrift 3 Tegn"/>
    <w:basedOn w:val="Standardskrifttypeiafsnit"/>
    <w:link w:val="Overskrift3"/>
    <w:uiPriority w:val="1"/>
    <w:rsid w:val="00AE1404"/>
    <w:rPr>
      <w:rFonts w:ascii="Arial" w:eastAsiaTheme="majorEastAsia" w:hAnsi="Arial" w:cstheme="majorBidi"/>
      <w:b/>
      <w:bCs/>
      <w:spacing w:val="5"/>
      <w:sz w:val="20"/>
    </w:rPr>
  </w:style>
  <w:style w:type="character" w:customStyle="1" w:styleId="Overskrift4Tegn">
    <w:name w:val="Overskrift 4 Tegn"/>
    <w:basedOn w:val="Standardskrifttypeiafsnit"/>
    <w:link w:val="Overskrift4"/>
    <w:uiPriority w:val="1"/>
    <w:rsid w:val="00AE1404"/>
    <w:rPr>
      <w:rFonts w:ascii="Arial" w:eastAsiaTheme="majorEastAsia" w:hAnsi="Arial" w:cstheme="majorBidi"/>
      <w:b/>
      <w:bCs/>
      <w:iCs/>
      <w:spacing w:val="5"/>
    </w:rPr>
  </w:style>
  <w:style w:type="character" w:customStyle="1" w:styleId="Overskrift5Tegn">
    <w:name w:val="Overskrift 5 Tegn"/>
    <w:basedOn w:val="Standardskrifttypeiafsnit"/>
    <w:link w:val="Overskrift5"/>
    <w:uiPriority w:val="1"/>
    <w:semiHidden/>
    <w:rsid w:val="00EF0F9B"/>
    <w:rPr>
      <w:rFonts w:ascii="Arial" w:eastAsiaTheme="majorEastAsia" w:hAnsi="Arial" w:cstheme="majorBidi"/>
      <w:b/>
      <w:bCs/>
      <w:iCs/>
    </w:rPr>
  </w:style>
  <w:style w:type="character" w:customStyle="1" w:styleId="Overskrift6Tegn">
    <w:name w:val="Overskrift 6 Tegn"/>
    <w:basedOn w:val="Standardskrifttypeiafsnit"/>
    <w:link w:val="Overskrift6"/>
    <w:uiPriority w:val="1"/>
    <w:semiHidden/>
    <w:rsid w:val="00EF0F9B"/>
    <w:rPr>
      <w:rFonts w:ascii="Arial" w:eastAsiaTheme="majorEastAsia" w:hAnsi="Arial" w:cstheme="majorBidi"/>
      <w:b/>
      <w:bCs/>
      <w:iCs/>
    </w:rPr>
  </w:style>
  <w:style w:type="character" w:customStyle="1" w:styleId="Overskrift7Tegn">
    <w:name w:val="Overskrift 7 Tegn"/>
    <w:basedOn w:val="Standardskrifttypeiafsnit"/>
    <w:link w:val="Overskrift7"/>
    <w:uiPriority w:val="1"/>
    <w:semiHidden/>
    <w:rsid w:val="00EF0F9B"/>
    <w:rPr>
      <w:rFonts w:ascii="Arial" w:eastAsiaTheme="majorEastAsia" w:hAnsi="Arial" w:cstheme="majorBidi"/>
      <w:b/>
      <w:bCs/>
      <w:iCs/>
    </w:rPr>
  </w:style>
  <w:style w:type="character" w:customStyle="1" w:styleId="Overskrift8Tegn">
    <w:name w:val="Overskrift 8 Tegn"/>
    <w:basedOn w:val="Standardskrifttypeiafsnit"/>
    <w:link w:val="Overskrift8"/>
    <w:uiPriority w:val="1"/>
    <w:semiHidden/>
    <w:rsid w:val="00EF0F9B"/>
    <w:rPr>
      <w:rFonts w:ascii="Arial" w:eastAsiaTheme="majorEastAsia" w:hAnsi="Arial" w:cstheme="majorBidi"/>
      <w:b/>
      <w:bCs/>
      <w:iCs/>
    </w:rPr>
  </w:style>
  <w:style w:type="character" w:customStyle="1" w:styleId="Overskrift9Tegn">
    <w:name w:val="Overskrift 9 Tegn"/>
    <w:basedOn w:val="Standardskrifttypeiafsnit"/>
    <w:link w:val="Overskrift9"/>
    <w:uiPriority w:val="1"/>
    <w:semiHidden/>
    <w:rsid w:val="00EF0F9B"/>
    <w:rPr>
      <w:rFonts w:ascii="Arial" w:eastAsiaTheme="majorEastAsia" w:hAnsi="Arial" w:cstheme="majorBidi"/>
      <w:b/>
      <w:bCs/>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CB33DF"/>
    <w:pPr>
      <w:ind w:left="57" w:right="57"/>
    </w:pPr>
    <w:rPr>
      <w:rFonts w:ascii="Arial" w:hAnsi="Arial"/>
      <w:bCs/>
      <w:sz w:val="17"/>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8"/>
    <w:semiHidden/>
    <w:rsid w:val="002E74A4"/>
    <w:pPr>
      <w:spacing w:after="520"/>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EF0F9B"/>
    <w:rPr>
      <w:rFonts w:ascii="Arial" w:hAnsi="Arial"/>
      <w:sz w:val="14"/>
    </w:rPr>
  </w:style>
  <w:style w:type="paragraph" w:customStyle="1" w:styleId="Hjrespaltetekst">
    <w:name w:val="Højrespalte tekst"/>
    <w:uiPriority w:val="8"/>
    <w:rsid w:val="00030F87"/>
    <w:pPr>
      <w:spacing w:line="220" w:lineRule="exact"/>
    </w:pPr>
    <w:rPr>
      <w:rFonts w:ascii="Arial" w:hAnsi="Arial"/>
      <w:noProof/>
      <w:color w:val="14143C"/>
      <w:spacing w:val="5"/>
      <w:sz w:val="14"/>
    </w:rPr>
  </w:style>
  <w:style w:type="paragraph" w:customStyle="1" w:styleId="Hjrespalte-Overskrift">
    <w:name w:val="Højrespalte - Overskrift"/>
    <w:basedOn w:val="Hjrespaltetekst"/>
    <w:next w:val="Hjrespaltetekst"/>
    <w:uiPriority w:val="7"/>
    <w:rsid w:val="00D66E2C"/>
    <w:pPr>
      <w:spacing w:line="280" w:lineRule="exact"/>
    </w:pPr>
    <w:rPr>
      <w:b/>
      <w:sz w:val="18"/>
    </w:rPr>
  </w:style>
  <w:style w:type="paragraph" w:customStyle="1" w:styleId="Hjrespalte-Fed">
    <w:name w:val="Højrespalte - Fed"/>
    <w:basedOn w:val="Hjrespaltetekst"/>
    <w:next w:val="Hjrespalte-Overskrift"/>
    <w:uiPriority w:val="7"/>
    <w:rsid w:val="00F6027B"/>
    <w:pPr>
      <w:tabs>
        <w:tab w:val="left" w:pos="567"/>
      </w:tabs>
      <w:spacing w:line="230" w:lineRule="exact"/>
    </w:pPr>
    <w:rPr>
      <w:b/>
      <w:spacing w:val="4"/>
    </w:rPr>
  </w:style>
  <w:style w:type="paragraph" w:styleId="Citatoverskrift">
    <w:name w:val="toa heading"/>
    <w:basedOn w:val="Normal"/>
    <w:next w:val="Normal"/>
    <w:uiPriority w:val="2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29"/>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11"/>
    <w:rsid w:val="00B9508F"/>
    <w:pPr>
      <w:spacing w:before="40" w:after="40" w:line="240" w:lineRule="atLeast"/>
      <w:ind w:left="227" w:right="227"/>
    </w:pPr>
    <w:rPr>
      <w:rFonts w:ascii="Arial" w:hAnsi="Arial"/>
      <w:sz w:val="16"/>
    </w:rPr>
  </w:style>
  <w:style w:type="paragraph" w:customStyle="1" w:styleId="Tabel-KolonneOverskrift">
    <w:name w:val="Tabel - Kolonne Overskrift"/>
    <w:basedOn w:val="Tabel"/>
    <w:uiPriority w:val="10"/>
    <w:rsid w:val="00B9508F"/>
  </w:style>
  <w:style w:type="paragraph" w:customStyle="1" w:styleId="Tabel-TekstTotal">
    <w:name w:val="Tabel - Tekst Total"/>
    <w:basedOn w:val="Tabel-KolonneOverskrift"/>
    <w:uiPriority w:val="14"/>
    <w:rsid w:val="00424709"/>
    <w:rPr>
      <w:b/>
    </w:rPr>
  </w:style>
  <w:style w:type="paragraph" w:customStyle="1" w:styleId="Tabel-Tal">
    <w:name w:val="Tabel - Tal"/>
    <w:basedOn w:val="Tabel"/>
    <w:uiPriority w:val="14"/>
    <w:rsid w:val="00893791"/>
    <w:pPr>
      <w:jc w:val="right"/>
    </w:pPr>
  </w:style>
  <w:style w:type="paragraph" w:customStyle="1" w:styleId="Tabel-TalTotal">
    <w:name w:val="Tabel - Tal Total"/>
    <w:basedOn w:val="Tabel-Tal"/>
    <w:uiPriority w:val="1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29"/>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775409"/>
    <w:pPr>
      <w:spacing w:line="240" w:lineRule="auto"/>
    </w:pPr>
    <w:rPr>
      <w:rFonts w:ascii="Garamond" w:hAnsi="Garamon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DocumentHeading">
    <w:name w:val="Document Heading"/>
    <w:basedOn w:val="Overskrift4"/>
    <w:uiPriority w:val="6"/>
    <w:semiHidden/>
    <w:rsid w:val="00AB5B85"/>
    <w:pPr>
      <w:spacing w:after="260"/>
    </w:p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Hjrespaltetekst"/>
    <w:uiPriority w:val="8"/>
    <w:rsid w:val="008D5A02"/>
  </w:style>
  <w:style w:type="paragraph" w:styleId="Markeringsbobletekst">
    <w:name w:val="Balloon Text"/>
    <w:basedOn w:val="Normal"/>
    <w:link w:val="MarkeringsbobletekstTegn"/>
    <w:uiPriority w:val="99"/>
    <w:semiHidden/>
    <w:rsid w:val="000070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03F"/>
    <w:rPr>
      <w:rFonts w:ascii="Tahoma" w:hAnsi="Tahoma" w:cs="Tahoma"/>
      <w:sz w:val="16"/>
      <w:szCs w:val="16"/>
    </w:rPr>
  </w:style>
  <w:style w:type="character" w:styleId="Hyperlink">
    <w:name w:val="Hyperlink"/>
    <w:basedOn w:val="Standardskrifttypeiafsnit"/>
    <w:uiPriority w:val="21"/>
    <w:semiHidden/>
    <w:rsid w:val="00504882"/>
    <w:rPr>
      <w:color w:val="0000FF" w:themeColor="hyperlink"/>
      <w:u w:val="single"/>
    </w:rPr>
  </w:style>
  <w:style w:type="paragraph" w:customStyle="1" w:styleId="SmtekstRegular">
    <w:name w:val="Småtekst  Regular"/>
    <w:basedOn w:val="Normal"/>
    <w:uiPriority w:val="2"/>
    <w:qFormat/>
    <w:rsid w:val="00030F87"/>
    <w:rPr>
      <w:rFonts w:ascii="Arial" w:hAnsi="Arial"/>
      <w:spacing w:val="5"/>
      <w:sz w:val="16"/>
    </w:rPr>
  </w:style>
  <w:style w:type="paragraph" w:customStyle="1" w:styleId="SmtekstFed">
    <w:name w:val="Småtekst Fed"/>
    <w:basedOn w:val="SmtekstRegular"/>
    <w:next w:val="SmtekstRegular"/>
    <w:uiPriority w:val="2"/>
    <w:qFormat/>
    <w:rsid w:val="00203DE6"/>
    <w:rPr>
      <w:b/>
    </w:rPr>
  </w:style>
  <w:style w:type="paragraph" w:customStyle="1" w:styleId="Tabel-KolonneOverskriftHvid">
    <w:name w:val="Tabel - Kolonne Overskrift Hvid"/>
    <w:basedOn w:val="Tabel-KolonneOverskrift"/>
    <w:uiPriority w:val="10"/>
    <w:qFormat/>
    <w:rsid w:val="00B6504E"/>
    <w:rPr>
      <w:color w:val="FFFFFF" w:themeColor="background1"/>
    </w:rPr>
  </w:style>
  <w:style w:type="paragraph" w:customStyle="1" w:styleId="Tabel-BrdtekstArial">
    <w:name w:val="Tabel - Brødtekst (Arial)"/>
    <w:basedOn w:val="Normal"/>
    <w:uiPriority w:val="11"/>
    <w:qFormat/>
    <w:rsid w:val="000A42E7"/>
    <w:pPr>
      <w:ind w:left="227" w:right="227"/>
      <w:contextualSpacing/>
    </w:pPr>
    <w:rPr>
      <w:rFonts w:ascii="Arial" w:hAnsi="Arial"/>
      <w:sz w:val="16"/>
    </w:rPr>
  </w:style>
  <w:style w:type="table" w:customStyle="1" w:styleId="SKM-Tabel-Bl">
    <w:name w:val="SKM - Tabel - Blå"/>
    <w:basedOn w:val="Tabel-Normal"/>
    <w:uiPriority w:val="99"/>
    <w:rsid w:val="00131F5D"/>
    <w:pPr>
      <w:spacing w:line="240" w:lineRule="auto"/>
    </w:pPr>
    <w:rPr>
      <w:rFonts w:ascii="Garamond" w:hAnsi="Garamond"/>
      <w:sz w:val="22"/>
    </w:rPr>
    <w:tblPr>
      <w:tblCellMar>
        <w:left w:w="0" w:type="dxa"/>
        <w:right w:w="0" w:type="dxa"/>
      </w:tblCellMar>
    </w:tblPr>
    <w:tcPr>
      <w:shd w:val="clear" w:color="auto" w:fill="D2CED8"/>
    </w:tcPr>
    <w:tblStylePr w:type="firstRow">
      <w:rPr>
        <w:rFonts w:ascii="Arial" w:hAnsi="Arial"/>
        <w:sz w:val="22"/>
      </w:rPr>
      <w:tblPr/>
      <w:tcPr>
        <w:shd w:val="clear" w:color="auto" w:fill="14143C" w:themeFill="accent1"/>
      </w:tcPr>
    </w:tblStylePr>
  </w:style>
  <w:style w:type="table" w:styleId="Lysskygge-markeringsfarve1">
    <w:name w:val="Light Shading Accent 1"/>
    <w:basedOn w:val="Tabel-Normal"/>
    <w:uiPriority w:val="60"/>
    <w:rsid w:val="00530A82"/>
    <w:pPr>
      <w:spacing w:line="240" w:lineRule="auto"/>
    </w:pPr>
    <w:rPr>
      <w:color w:val="0F0F2C" w:themeColor="accent1" w:themeShade="BF"/>
    </w:rPr>
    <w:tblPr>
      <w:tblStyleRowBandSize w:val="1"/>
      <w:tblStyleColBandSize w:val="1"/>
      <w:tblBorders>
        <w:top w:val="single" w:sz="8" w:space="0" w:color="14143C" w:themeColor="accent1"/>
        <w:bottom w:val="single" w:sz="8" w:space="0" w:color="14143C" w:themeColor="accent1"/>
      </w:tblBorders>
    </w:tblPr>
    <w:tblStylePr w:type="fir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la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AFE4" w:themeFill="accent1" w:themeFillTint="3F"/>
      </w:tcPr>
    </w:tblStylePr>
    <w:tblStylePr w:type="band1Horz">
      <w:tblPr/>
      <w:tcPr>
        <w:tcBorders>
          <w:left w:val="nil"/>
          <w:right w:val="nil"/>
          <w:insideH w:val="nil"/>
          <w:insideV w:val="nil"/>
        </w:tcBorders>
        <w:shd w:val="clear" w:color="auto" w:fill="AFAFE4" w:themeFill="accent1" w:themeFillTint="3F"/>
      </w:tcPr>
    </w:tblStylePr>
  </w:style>
  <w:style w:type="paragraph" w:customStyle="1" w:styleId="Billedtekstnedre">
    <w:name w:val="Billedtekst nedre"/>
    <w:basedOn w:val="Normal"/>
    <w:next w:val="Normal"/>
    <w:uiPriority w:val="3"/>
    <w:qFormat/>
    <w:rsid w:val="00F45445"/>
    <w:pPr>
      <w:spacing w:before="57" w:line="150" w:lineRule="atLeast"/>
    </w:pPr>
    <w:rPr>
      <w:rFonts w:ascii="Arial" w:hAnsi="Arial"/>
      <w:color w:val="14143C"/>
      <w:sz w:val="12"/>
    </w:rPr>
  </w:style>
  <w:style w:type="paragraph" w:customStyle="1" w:styleId="Tabel-BrdtekstmedafstandptekstGaramond">
    <w:name w:val="Tabel - Brødtekst med afstand på tekst (Garamond)"/>
    <w:basedOn w:val="Tabel-BrdtekstArial"/>
    <w:qFormat/>
    <w:rsid w:val="00B5346F"/>
    <w:pPr>
      <w:spacing w:before="280" w:after="280"/>
    </w:pPr>
    <w:rPr>
      <w:rFonts w:ascii="Garamond" w:hAnsi="Garamond"/>
      <w:sz w:val="22"/>
    </w:rPr>
  </w:style>
  <w:style w:type="paragraph" w:customStyle="1" w:styleId="Tabel-BrdtekstGaramond">
    <w:name w:val="Tabel - Brødtekst (Garamond)"/>
    <w:basedOn w:val="Normal"/>
    <w:uiPriority w:val="11"/>
    <w:qFormat/>
    <w:rsid w:val="00C173F9"/>
    <w:pPr>
      <w:ind w:left="227" w:right="227"/>
      <w:contextualSpacing/>
    </w:pPr>
    <w:rPr>
      <w:rFonts w:ascii="Arial" w:hAnsi="Arial"/>
      <w:sz w:val="16"/>
    </w:rPr>
  </w:style>
  <w:style w:type="paragraph" w:customStyle="1" w:styleId="Udenorddeling">
    <w:name w:val="Uden_orddeling"/>
    <w:basedOn w:val="Normal"/>
    <w:link w:val="UdenorddelingTegn"/>
    <w:qFormat/>
    <w:rsid w:val="00DF0E45"/>
    <w:pPr>
      <w:framePr w:hSpace="142" w:wrap="around" w:vAnchor="page" w:hAnchor="page" w:x="9186" w:y="1645"/>
      <w:spacing w:after="130" w:line="276" w:lineRule="auto"/>
      <w:suppressOverlap/>
    </w:pPr>
    <w:rPr>
      <w:rFonts w:ascii="Calibri" w:eastAsia="Times New Roman" w:hAnsi="Calibri" w:cs="Calibri"/>
      <w:noProof/>
      <w:sz w:val="17"/>
      <w:szCs w:val="24"/>
      <w:lang w:eastAsia="da-DK"/>
    </w:rPr>
  </w:style>
  <w:style w:type="character" w:customStyle="1" w:styleId="UdenorddelingTegn">
    <w:name w:val="Uden_orddeling Tegn"/>
    <w:basedOn w:val="Standardskrifttypeiafsnit"/>
    <w:link w:val="Udenorddeling"/>
    <w:rsid w:val="00DF0E45"/>
    <w:rPr>
      <w:rFonts w:ascii="Calibri" w:eastAsia="Times New Roman" w:hAnsi="Calibri" w:cs="Calibri"/>
      <w:noProof/>
      <w:sz w:val="17"/>
      <w:szCs w:val="24"/>
      <w:lang w:eastAsia="da-DK"/>
    </w:rPr>
  </w:style>
  <w:style w:type="paragraph" w:styleId="Listeafsnit">
    <w:name w:val="List Paragraph"/>
    <w:basedOn w:val="Normal"/>
    <w:uiPriority w:val="99"/>
    <w:semiHidden/>
    <w:qFormat/>
    <w:rsid w:val="00884082"/>
    <w:pPr>
      <w:ind w:left="720"/>
      <w:contextualSpacing/>
    </w:pPr>
  </w:style>
  <w:style w:type="paragraph" w:customStyle="1" w:styleId="Default">
    <w:name w:val="Default"/>
    <w:rsid w:val="00C278C2"/>
    <w:pPr>
      <w:autoSpaceDE w:val="0"/>
      <w:autoSpaceDN w:val="0"/>
      <w:adjustRightInd w:val="0"/>
      <w:spacing w:line="240" w:lineRule="auto"/>
    </w:pPr>
    <w:rPr>
      <w:rFonts w:ascii="Georgia" w:hAnsi="Georgia" w:cs="Georgia"/>
      <w:color w:val="000000"/>
      <w:sz w:val="24"/>
      <w:szCs w:val="24"/>
    </w:rPr>
  </w:style>
  <w:style w:type="character" w:styleId="Kommentarhenvisning">
    <w:name w:val="annotation reference"/>
    <w:basedOn w:val="Standardskrifttypeiafsnit"/>
    <w:uiPriority w:val="99"/>
    <w:semiHidden/>
    <w:unhideWhenUsed/>
    <w:rsid w:val="00161C77"/>
    <w:rPr>
      <w:sz w:val="16"/>
      <w:szCs w:val="16"/>
    </w:rPr>
  </w:style>
  <w:style w:type="paragraph" w:styleId="Kommentartekst">
    <w:name w:val="annotation text"/>
    <w:basedOn w:val="Normal"/>
    <w:link w:val="KommentartekstTegn"/>
    <w:uiPriority w:val="99"/>
    <w:semiHidden/>
    <w:unhideWhenUsed/>
    <w:rsid w:val="00161C7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61C77"/>
    <w:rPr>
      <w:rFonts w:ascii="Garamond" w:hAnsi="Garamond"/>
      <w:sz w:val="20"/>
      <w:szCs w:val="20"/>
    </w:rPr>
  </w:style>
  <w:style w:type="paragraph" w:styleId="Kommentaremne">
    <w:name w:val="annotation subject"/>
    <w:basedOn w:val="Kommentartekst"/>
    <w:next w:val="Kommentartekst"/>
    <w:link w:val="KommentaremneTegn"/>
    <w:uiPriority w:val="99"/>
    <w:semiHidden/>
    <w:unhideWhenUsed/>
    <w:rsid w:val="00161C77"/>
    <w:rPr>
      <w:b/>
      <w:bCs/>
    </w:rPr>
  </w:style>
  <w:style w:type="character" w:customStyle="1" w:styleId="KommentaremneTegn">
    <w:name w:val="Kommentaremne Tegn"/>
    <w:basedOn w:val="KommentartekstTegn"/>
    <w:link w:val="Kommentaremne"/>
    <w:uiPriority w:val="99"/>
    <w:semiHidden/>
    <w:rsid w:val="00161C77"/>
    <w:rPr>
      <w:rFonts w:ascii="Garamond" w:hAnsi="Garamond"/>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18"/>
        <w:szCs w:val="18"/>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
    <w:lsdException w:name="footnote reference" w:uiPriority="21"/>
    <w:lsdException w:name="table of authorities" w:uiPriority="9"/>
    <w:lsdException w:name="List Bullet" w:qFormat="1"/>
    <w:lsdException w:name="List Number" w:semiHidden="0" w:unhideWhenUsed="0" w:qFormat="1"/>
    <w:lsdException w:name="List 4" w:unhideWhenUsed="0"/>
    <w:lsdException w:name="List 5" w:unhideWhenUsed="0"/>
    <w:lsdException w:name="Title" w:semiHidden="0" w:uiPriority="10" w:unhideWhenUsed="0"/>
    <w:lsdException w:name="Default Paragraph Font" w:uiPriority="1"/>
    <w:lsdException w:name="Subtitle" w:semiHidden="0" w:uiPriority="11"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F37F63"/>
    <w:pPr>
      <w:spacing w:line="280" w:lineRule="atLeast"/>
    </w:pPr>
    <w:rPr>
      <w:rFonts w:ascii="Garamond" w:hAnsi="Garamond"/>
      <w:sz w:val="22"/>
    </w:rPr>
  </w:style>
  <w:style w:type="paragraph" w:styleId="Overskrift1">
    <w:name w:val="heading 1"/>
    <w:basedOn w:val="Normal"/>
    <w:next w:val="Normal"/>
    <w:link w:val="Overskrift1Tegn"/>
    <w:uiPriority w:val="1"/>
    <w:qFormat/>
    <w:rsid w:val="00AE1404"/>
    <w:pPr>
      <w:keepNext/>
      <w:keepLines/>
      <w:spacing w:line="360" w:lineRule="atLeast"/>
      <w:outlineLvl w:val="0"/>
    </w:pPr>
    <w:rPr>
      <w:rFonts w:ascii="Arial" w:eastAsiaTheme="majorEastAsia" w:hAnsi="Arial" w:cstheme="majorBidi"/>
      <w:b/>
      <w:bCs/>
      <w:spacing w:val="5"/>
      <w:sz w:val="28"/>
      <w:szCs w:val="28"/>
    </w:rPr>
  </w:style>
  <w:style w:type="paragraph" w:styleId="Overskrift2">
    <w:name w:val="heading 2"/>
    <w:basedOn w:val="Normal"/>
    <w:next w:val="Normal"/>
    <w:link w:val="Overskrift2Tegn"/>
    <w:uiPriority w:val="1"/>
    <w:qFormat/>
    <w:rsid w:val="00AE1404"/>
    <w:pPr>
      <w:keepNext/>
      <w:keepLines/>
      <w:outlineLvl w:val="1"/>
    </w:pPr>
    <w:rPr>
      <w:rFonts w:ascii="Arial" w:eastAsiaTheme="majorEastAsia" w:hAnsi="Arial" w:cstheme="majorBidi"/>
      <w:b/>
      <w:bCs/>
      <w:spacing w:val="5"/>
      <w:sz w:val="24"/>
      <w:szCs w:val="26"/>
    </w:rPr>
  </w:style>
  <w:style w:type="paragraph" w:styleId="Overskrift3">
    <w:name w:val="heading 3"/>
    <w:basedOn w:val="Normal"/>
    <w:next w:val="Normal"/>
    <w:link w:val="Overskrift3Tegn"/>
    <w:uiPriority w:val="1"/>
    <w:qFormat/>
    <w:rsid w:val="00AE1404"/>
    <w:pPr>
      <w:keepNext/>
      <w:keepLines/>
      <w:contextualSpacing/>
      <w:outlineLvl w:val="2"/>
    </w:pPr>
    <w:rPr>
      <w:rFonts w:ascii="Arial" w:eastAsiaTheme="majorEastAsia" w:hAnsi="Arial" w:cstheme="majorBidi"/>
      <w:b/>
      <w:bCs/>
      <w:spacing w:val="5"/>
      <w:sz w:val="20"/>
    </w:rPr>
  </w:style>
  <w:style w:type="paragraph" w:styleId="Overskrift4">
    <w:name w:val="heading 4"/>
    <w:basedOn w:val="Normal"/>
    <w:next w:val="Normal"/>
    <w:link w:val="Overskrift4Tegn"/>
    <w:uiPriority w:val="1"/>
    <w:rsid w:val="00AE1404"/>
    <w:pPr>
      <w:keepNext/>
      <w:keepLines/>
      <w:outlineLvl w:val="3"/>
    </w:pPr>
    <w:rPr>
      <w:rFonts w:ascii="Arial" w:eastAsiaTheme="majorEastAsia" w:hAnsi="Arial" w:cstheme="majorBidi"/>
      <w:b/>
      <w:bCs/>
      <w:iCs/>
      <w:spacing w:val="5"/>
      <w:sz w:val="18"/>
    </w:rPr>
  </w:style>
  <w:style w:type="paragraph" w:styleId="Overskrift5">
    <w:name w:val="heading 5"/>
    <w:basedOn w:val="Overskrift4"/>
    <w:next w:val="Normal"/>
    <w:link w:val="Overskrift5Tegn"/>
    <w:uiPriority w:val="1"/>
    <w:semiHidden/>
    <w:rsid w:val="00EF0F9B"/>
    <w:pPr>
      <w:outlineLvl w:val="4"/>
    </w:pPr>
  </w:style>
  <w:style w:type="paragraph" w:styleId="Overskrift6">
    <w:name w:val="heading 6"/>
    <w:basedOn w:val="Overskrift5"/>
    <w:next w:val="Normal"/>
    <w:link w:val="Overskrift6Tegn"/>
    <w:uiPriority w:val="1"/>
    <w:semiHidden/>
    <w:rsid w:val="00EF0F9B"/>
    <w:pPr>
      <w:outlineLvl w:val="5"/>
    </w:pPr>
  </w:style>
  <w:style w:type="paragraph" w:styleId="Overskrift7">
    <w:name w:val="heading 7"/>
    <w:basedOn w:val="Overskrift6"/>
    <w:next w:val="Normal"/>
    <w:link w:val="Overskrift7Tegn"/>
    <w:uiPriority w:val="1"/>
    <w:semiHidden/>
    <w:rsid w:val="00EF0F9B"/>
    <w:pPr>
      <w:outlineLvl w:val="6"/>
    </w:pPr>
  </w:style>
  <w:style w:type="paragraph" w:styleId="Overskrift8">
    <w:name w:val="heading 8"/>
    <w:basedOn w:val="Overskrift7"/>
    <w:next w:val="Normal"/>
    <w:link w:val="Overskrift8Tegn"/>
    <w:uiPriority w:val="1"/>
    <w:semiHidden/>
    <w:rsid w:val="00EF0F9B"/>
    <w:pPr>
      <w:outlineLvl w:val="7"/>
    </w:pPr>
  </w:style>
  <w:style w:type="paragraph" w:styleId="Overskrift9">
    <w:name w:val="heading 9"/>
    <w:basedOn w:val="Overskrift8"/>
    <w:next w:val="Normal"/>
    <w:link w:val="Overskrift9Tegn"/>
    <w:uiPriority w:val="1"/>
    <w:semiHidden/>
    <w:rsid w:val="00EF0F9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rsid w:val="00CE262C"/>
    <w:rPr>
      <w:rFonts w:ascii="Garamond" w:hAnsi="Garamond"/>
      <w:sz w:val="16"/>
    </w:rPr>
  </w:style>
  <w:style w:type="paragraph" w:styleId="Sidefod">
    <w:name w:val="footer"/>
    <w:basedOn w:val="Normal"/>
    <w:link w:val="SidefodTegn"/>
    <w:uiPriority w:val="21"/>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rsid w:val="00DC2AB9"/>
    <w:rPr>
      <w:rFonts w:ascii="Garamond" w:hAnsi="Garamond"/>
      <w:sz w:val="16"/>
    </w:rPr>
  </w:style>
  <w:style w:type="character" w:customStyle="1" w:styleId="Overskrift1Tegn">
    <w:name w:val="Overskrift 1 Tegn"/>
    <w:basedOn w:val="Standardskrifttypeiafsnit"/>
    <w:link w:val="Overskrift1"/>
    <w:uiPriority w:val="1"/>
    <w:rsid w:val="00AE1404"/>
    <w:rPr>
      <w:rFonts w:ascii="Arial" w:eastAsiaTheme="majorEastAsia" w:hAnsi="Arial" w:cstheme="majorBidi"/>
      <w:b/>
      <w:bCs/>
      <w:spacing w:val="5"/>
      <w:sz w:val="28"/>
      <w:szCs w:val="28"/>
    </w:rPr>
  </w:style>
  <w:style w:type="character" w:customStyle="1" w:styleId="Overskrift2Tegn">
    <w:name w:val="Overskrift 2 Tegn"/>
    <w:basedOn w:val="Standardskrifttypeiafsnit"/>
    <w:link w:val="Overskrift2"/>
    <w:uiPriority w:val="1"/>
    <w:rsid w:val="00AE1404"/>
    <w:rPr>
      <w:rFonts w:ascii="Arial" w:eastAsiaTheme="majorEastAsia" w:hAnsi="Arial" w:cstheme="majorBidi"/>
      <w:b/>
      <w:bCs/>
      <w:spacing w:val="5"/>
      <w:sz w:val="24"/>
      <w:szCs w:val="26"/>
    </w:rPr>
  </w:style>
  <w:style w:type="character" w:customStyle="1" w:styleId="Overskrift3Tegn">
    <w:name w:val="Overskrift 3 Tegn"/>
    <w:basedOn w:val="Standardskrifttypeiafsnit"/>
    <w:link w:val="Overskrift3"/>
    <w:uiPriority w:val="1"/>
    <w:rsid w:val="00AE1404"/>
    <w:rPr>
      <w:rFonts w:ascii="Arial" w:eastAsiaTheme="majorEastAsia" w:hAnsi="Arial" w:cstheme="majorBidi"/>
      <w:b/>
      <w:bCs/>
      <w:spacing w:val="5"/>
      <w:sz w:val="20"/>
    </w:rPr>
  </w:style>
  <w:style w:type="character" w:customStyle="1" w:styleId="Overskrift4Tegn">
    <w:name w:val="Overskrift 4 Tegn"/>
    <w:basedOn w:val="Standardskrifttypeiafsnit"/>
    <w:link w:val="Overskrift4"/>
    <w:uiPriority w:val="1"/>
    <w:rsid w:val="00AE1404"/>
    <w:rPr>
      <w:rFonts w:ascii="Arial" w:eastAsiaTheme="majorEastAsia" w:hAnsi="Arial" w:cstheme="majorBidi"/>
      <w:b/>
      <w:bCs/>
      <w:iCs/>
      <w:spacing w:val="5"/>
    </w:rPr>
  </w:style>
  <w:style w:type="character" w:customStyle="1" w:styleId="Overskrift5Tegn">
    <w:name w:val="Overskrift 5 Tegn"/>
    <w:basedOn w:val="Standardskrifttypeiafsnit"/>
    <w:link w:val="Overskrift5"/>
    <w:uiPriority w:val="1"/>
    <w:semiHidden/>
    <w:rsid w:val="00EF0F9B"/>
    <w:rPr>
      <w:rFonts w:ascii="Arial" w:eastAsiaTheme="majorEastAsia" w:hAnsi="Arial" w:cstheme="majorBidi"/>
      <w:b/>
      <w:bCs/>
      <w:iCs/>
    </w:rPr>
  </w:style>
  <w:style w:type="character" w:customStyle="1" w:styleId="Overskrift6Tegn">
    <w:name w:val="Overskrift 6 Tegn"/>
    <w:basedOn w:val="Standardskrifttypeiafsnit"/>
    <w:link w:val="Overskrift6"/>
    <w:uiPriority w:val="1"/>
    <w:semiHidden/>
    <w:rsid w:val="00EF0F9B"/>
    <w:rPr>
      <w:rFonts w:ascii="Arial" w:eastAsiaTheme="majorEastAsia" w:hAnsi="Arial" w:cstheme="majorBidi"/>
      <w:b/>
      <w:bCs/>
      <w:iCs/>
    </w:rPr>
  </w:style>
  <w:style w:type="character" w:customStyle="1" w:styleId="Overskrift7Tegn">
    <w:name w:val="Overskrift 7 Tegn"/>
    <w:basedOn w:val="Standardskrifttypeiafsnit"/>
    <w:link w:val="Overskrift7"/>
    <w:uiPriority w:val="1"/>
    <w:semiHidden/>
    <w:rsid w:val="00EF0F9B"/>
    <w:rPr>
      <w:rFonts w:ascii="Arial" w:eastAsiaTheme="majorEastAsia" w:hAnsi="Arial" w:cstheme="majorBidi"/>
      <w:b/>
      <w:bCs/>
      <w:iCs/>
    </w:rPr>
  </w:style>
  <w:style w:type="character" w:customStyle="1" w:styleId="Overskrift8Tegn">
    <w:name w:val="Overskrift 8 Tegn"/>
    <w:basedOn w:val="Standardskrifttypeiafsnit"/>
    <w:link w:val="Overskrift8"/>
    <w:uiPriority w:val="1"/>
    <w:semiHidden/>
    <w:rsid w:val="00EF0F9B"/>
    <w:rPr>
      <w:rFonts w:ascii="Arial" w:eastAsiaTheme="majorEastAsia" w:hAnsi="Arial" w:cstheme="majorBidi"/>
      <w:b/>
      <w:bCs/>
      <w:iCs/>
    </w:rPr>
  </w:style>
  <w:style w:type="character" w:customStyle="1" w:styleId="Overskrift9Tegn">
    <w:name w:val="Overskrift 9 Tegn"/>
    <w:basedOn w:val="Standardskrifttypeiafsnit"/>
    <w:link w:val="Overskrift9"/>
    <w:uiPriority w:val="1"/>
    <w:semiHidden/>
    <w:rsid w:val="00EF0F9B"/>
    <w:rPr>
      <w:rFonts w:ascii="Arial" w:eastAsiaTheme="majorEastAsia" w:hAnsi="Arial" w:cstheme="majorBidi"/>
      <w:b/>
      <w:bCs/>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CB33DF"/>
    <w:pPr>
      <w:ind w:left="57" w:right="57"/>
    </w:pPr>
    <w:rPr>
      <w:rFonts w:ascii="Arial" w:hAnsi="Arial"/>
      <w:bCs/>
      <w:sz w:val="17"/>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8"/>
    <w:semiHidden/>
    <w:rsid w:val="002E74A4"/>
    <w:pPr>
      <w:spacing w:after="520"/>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EF0F9B"/>
    <w:rPr>
      <w:rFonts w:ascii="Arial" w:hAnsi="Arial"/>
      <w:sz w:val="14"/>
    </w:rPr>
  </w:style>
  <w:style w:type="paragraph" w:customStyle="1" w:styleId="Hjrespaltetekst">
    <w:name w:val="Højrespalte tekst"/>
    <w:uiPriority w:val="8"/>
    <w:rsid w:val="00030F87"/>
    <w:pPr>
      <w:spacing w:line="220" w:lineRule="exact"/>
    </w:pPr>
    <w:rPr>
      <w:rFonts w:ascii="Arial" w:hAnsi="Arial"/>
      <w:noProof/>
      <w:color w:val="14143C"/>
      <w:spacing w:val="5"/>
      <w:sz w:val="14"/>
    </w:rPr>
  </w:style>
  <w:style w:type="paragraph" w:customStyle="1" w:styleId="Hjrespalte-Overskrift">
    <w:name w:val="Højrespalte - Overskrift"/>
    <w:basedOn w:val="Hjrespaltetekst"/>
    <w:next w:val="Hjrespaltetekst"/>
    <w:uiPriority w:val="7"/>
    <w:rsid w:val="00D66E2C"/>
    <w:pPr>
      <w:spacing w:line="280" w:lineRule="exact"/>
    </w:pPr>
    <w:rPr>
      <w:b/>
      <w:sz w:val="18"/>
    </w:rPr>
  </w:style>
  <w:style w:type="paragraph" w:customStyle="1" w:styleId="Hjrespalte-Fed">
    <w:name w:val="Højrespalte - Fed"/>
    <w:basedOn w:val="Hjrespaltetekst"/>
    <w:next w:val="Hjrespalte-Overskrift"/>
    <w:uiPriority w:val="7"/>
    <w:rsid w:val="00F6027B"/>
    <w:pPr>
      <w:tabs>
        <w:tab w:val="left" w:pos="567"/>
      </w:tabs>
      <w:spacing w:line="230" w:lineRule="exact"/>
    </w:pPr>
    <w:rPr>
      <w:b/>
      <w:spacing w:val="4"/>
    </w:rPr>
  </w:style>
  <w:style w:type="paragraph" w:styleId="Citatoverskrift">
    <w:name w:val="toa heading"/>
    <w:basedOn w:val="Normal"/>
    <w:next w:val="Normal"/>
    <w:uiPriority w:val="2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29"/>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11"/>
    <w:rsid w:val="00B9508F"/>
    <w:pPr>
      <w:spacing w:before="40" w:after="40" w:line="240" w:lineRule="atLeast"/>
      <w:ind w:left="227" w:right="227"/>
    </w:pPr>
    <w:rPr>
      <w:rFonts w:ascii="Arial" w:hAnsi="Arial"/>
      <w:sz w:val="16"/>
    </w:rPr>
  </w:style>
  <w:style w:type="paragraph" w:customStyle="1" w:styleId="Tabel-KolonneOverskrift">
    <w:name w:val="Tabel - Kolonne Overskrift"/>
    <w:basedOn w:val="Tabel"/>
    <w:uiPriority w:val="10"/>
    <w:rsid w:val="00B9508F"/>
  </w:style>
  <w:style w:type="paragraph" w:customStyle="1" w:styleId="Tabel-TekstTotal">
    <w:name w:val="Tabel - Tekst Total"/>
    <w:basedOn w:val="Tabel-KolonneOverskrift"/>
    <w:uiPriority w:val="14"/>
    <w:rsid w:val="00424709"/>
    <w:rPr>
      <w:b/>
    </w:rPr>
  </w:style>
  <w:style w:type="paragraph" w:customStyle="1" w:styleId="Tabel-Tal">
    <w:name w:val="Tabel - Tal"/>
    <w:basedOn w:val="Tabel"/>
    <w:uiPriority w:val="14"/>
    <w:rsid w:val="00893791"/>
    <w:pPr>
      <w:jc w:val="right"/>
    </w:pPr>
  </w:style>
  <w:style w:type="paragraph" w:customStyle="1" w:styleId="Tabel-TalTotal">
    <w:name w:val="Tabel - Tal Total"/>
    <w:basedOn w:val="Tabel-Tal"/>
    <w:uiPriority w:val="1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29"/>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775409"/>
    <w:pPr>
      <w:spacing w:line="240" w:lineRule="auto"/>
    </w:pPr>
    <w:rPr>
      <w:rFonts w:ascii="Garamond" w:hAnsi="Garamon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DocumentHeading">
    <w:name w:val="Document Heading"/>
    <w:basedOn w:val="Overskrift4"/>
    <w:uiPriority w:val="6"/>
    <w:semiHidden/>
    <w:rsid w:val="00AB5B85"/>
    <w:pPr>
      <w:spacing w:after="260"/>
    </w:p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Hjrespaltetekst"/>
    <w:uiPriority w:val="8"/>
    <w:rsid w:val="008D5A02"/>
  </w:style>
  <w:style w:type="paragraph" w:styleId="Markeringsbobletekst">
    <w:name w:val="Balloon Text"/>
    <w:basedOn w:val="Normal"/>
    <w:link w:val="MarkeringsbobletekstTegn"/>
    <w:uiPriority w:val="99"/>
    <w:semiHidden/>
    <w:rsid w:val="000070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03F"/>
    <w:rPr>
      <w:rFonts w:ascii="Tahoma" w:hAnsi="Tahoma" w:cs="Tahoma"/>
      <w:sz w:val="16"/>
      <w:szCs w:val="16"/>
    </w:rPr>
  </w:style>
  <w:style w:type="character" w:styleId="Hyperlink">
    <w:name w:val="Hyperlink"/>
    <w:basedOn w:val="Standardskrifttypeiafsnit"/>
    <w:uiPriority w:val="21"/>
    <w:semiHidden/>
    <w:rsid w:val="00504882"/>
    <w:rPr>
      <w:color w:val="0000FF" w:themeColor="hyperlink"/>
      <w:u w:val="single"/>
    </w:rPr>
  </w:style>
  <w:style w:type="paragraph" w:customStyle="1" w:styleId="SmtekstRegular">
    <w:name w:val="Småtekst  Regular"/>
    <w:basedOn w:val="Normal"/>
    <w:uiPriority w:val="2"/>
    <w:qFormat/>
    <w:rsid w:val="00030F87"/>
    <w:rPr>
      <w:rFonts w:ascii="Arial" w:hAnsi="Arial"/>
      <w:spacing w:val="5"/>
      <w:sz w:val="16"/>
    </w:rPr>
  </w:style>
  <w:style w:type="paragraph" w:customStyle="1" w:styleId="SmtekstFed">
    <w:name w:val="Småtekst Fed"/>
    <w:basedOn w:val="SmtekstRegular"/>
    <w:next w:val="SmtekstRegular"/>
    <w:uiPriority w:val="2"/>
    <w:qFormat/>
    <w:rsid w:val="00203DE6"/>
    <w:rPr>
      <w:b/>
    </w:rPr>
  </w:style>
  <w:style w:type="paragraph" w:customStyle="1" w:styleId="Tabel-KolonneOverskriftHvid">
    <w:name w:val="Tabel - Kolonne Overskrift Hvid"/>
    <w:basedOn w:val="Tabel-KolonneOverskrift"/>
    <w:uiPriority w:val="10"/>
    <w:qFormat/>
    <w:rsid w:val="00B6504E"/>
    <w:rPr>
      <w:color w:val="FFFFFF" w:themeColor="background1"/>
    </w:rPr>
  </w:style>
  <w:style w:type="paragraph" w:customStyle="1" w:styleId="Tabel-BrdtekstArial">
    <w:name w:val="Tabel - Brødtekst (Arial)"/>
    <w:basedOn w:val="Normal"/>
    <w:uiPriority w:val="11"/>
    <w:qFormat/>
    <w:rsid w:val="000A42E7"/>
    <w:pPr>
      <w:ind w:left="227" w:right="227"/>
      <w:contextualSpacing/>
    </w:pPr>
    <w:rPr>
      <w:rFonts w:ascii="Arial" w:hAnsi="Arial"/>
      <w:sz w:val="16"/>
    </w:rPr>
  </w:style>
  <w:style w:type="table" w:customStyle="1" w:styleId="SKM-Tabel-Bl">
    <w:name w:val="SKM - Tabel - Blå"/>
    <w:basedOn w:val="Tabel-Normal"/>
    <w:uiPriority w:val="99"/>
    <w:rsid w:val="00131F5D"/>
    <w:pPr>
      <w:spacing w:line="240" w:lineRule="auto"/>
    </w:pPr>
    <w:rPr>
      <w:rFonts w:ascii="Garamond" w:hAnsi="Garamond"/>
      <w:sz w:val="22"/>
    </w:rPr>
    <w:tblPr>
      <w:tblCellMar>
        <w:left w:w="0" w:type="dxa"/>
        <w:right w:w="0" w:type="dxa"/>
      </w:tblCellMar>
    </w:tblPr>
    <w:tcPr>
      <w:shd w:val="clear" w:color="auto" w:fill="D2CED8"/>
    </w:tcPr>
    <w:tblStylePr w:type="firstRow">
      <w:rPr>
        <w:rFonts w:ascii="Arial" w:hAnsi="Arial"/>
        <w:sz w:val="22"/>
      </w:rPr>
      <w:tblPr/>
      <w:tcPr>
        <w:shd w:val="clear" w:color="auto" w:fill="14143C" w:themeFill="accent1"/>
      </w:tcPr>
    </w:tblStylePr>
  </w:style>
  <w:style w:type="table" w:styleId="Lysskygge-markeringsfarve1">
    <w:name w:val="Light Shading Accent 1"/>
    <w:basedOn w:val="Tabel-Normal"/>
    <w:uiPriority w:val="60"/>
    <w:rsid w:val="00530A82"/>
    <w:pPr>
      <w:spacing w:line="240" w:lineRule="auto"/>
    </w:pPr>
    <w:rPr>
      <w:color w:val="0F0F2C" w:themeColor="accent1" w:themeShade="BF"/>
    </w:rPr>
    <w:tblPr>
      <w:tblStyleRowBandSize w:val="1"/>
      <w:tblStyleColBandSize w:val="1"/>
      <w:tblBorders>
        <w:top w:val="single" w:sz="8" w:space="0" w:color="14143C" w:themeColor="accent1"/>
        <w:bottom w:val="single" w:sz="8" w:space="0" w:color="14143C" w:themeColor="accent1"/>
      </w:tblBorders>
    </w:tblPr>
    <w:tblStylePr w:type="fir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la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AFE4" w:themeFill="accent1" w:themeFillTint="3F"/>
      </w:tcPr>
    </w:tblStylePr>
    <w:tblStylePr w:type="band1Horz">
      <w:tblPr/>
      <w:tcPr>
        <w:tcBorders>
          <w:left w:val="nil"/>
          <w:right w:val="nil"/>
          <w:insideH w:val="nil"/>
          <w:insideV w:val="nil"/>
        </w:tcBorders>
        <w:shd w:val="clear" w:color="auto" w:fill="AFAFE4" w:themeFill="accent1" w:themeFillTint="3F"/>
      </w:tcPr>
    </w:tblStylePr>
  </w:style>
  <w:style w:type="paragraph" w:customStyle="1" w:styleId="Billedtekstnedre">
    <w:name w:val="Billedtekst nedre"/>
    <w:basedOn w:val="Normal"/>
    <w:next w:val="Normal"/>
    <w:uiPriority w:val="3"/>
    <w:qFormat/>
    <w:rsid w:val="00F45445"/>
    <w:pPr>
      <w:spacing w:before="57" w:line="150" w:lineRule="atLeast"/>
    </w:pPr>
    <w:rPr>
      <w:rFonts w:ascii="Arial" w:hAnsi="Arial"/>
      <w:color w:val="14143C"/>
      <w:sz w:val="12"/>
    </w:rPr>
  </w:style>
  <w:style w:type="paragraph" w:customStyle="1" w:styleId="Tabel-BrdtekstmedafstandptekstGaramond">
    <w:name w:val="Tabel - Brødtekst med afstand på tekst (Garamond)"/>
    <w:basedOn w:val="Tabel-BrdtekstArial"/>
    <w:qFormat/>
    <w:rsid w:val="00B5346F"/>
    <w:pPr>
      <w:spacing w:before="280" w:after="280"/>
    </w:pPr>
    <w:rPr>
      <w:rFonts w:ascii="Garamond" w:hAnsi="Garamond"/>
      <w:sz w:val="22"/>
    </w:rPr>
  </w:style>
  <w:style w:type="paragraph" w:customStyle="1" w:styleId="Tabel-BrdtekstGaramond">
    <w:name w:val="Tabel - Brødtekst (Garamond)"/>
    <w:basedOn w:val="Normal"/>
    <w:uiPriority w:val="11"/>
    <w:qFormat/>
    <w:rsid w:val="00C173F9"/>
    <w:pPr>
      <w:ind w:left="227" w:right="227"/>
      <w:contextualSpacing/>
    </w:pPr>
    <w:rPr>
      <w:rFonts w:ascii="Arial" w:hAnsi="Arial"/>
      <w:sz w:val="16"/>
    </w:rPr>
  </w:style>
  <w:style w:type="paragraph" w:customStyle="1" w:styleId="Udenorddeling">
    <w:name w:val="Uden_orddeling"/>
    <w:basedOn w:val="Normal"/>
    <w:link w:val="UdenorddelingTegn"/>
    <w:qFormat/>
    <w:rsid w:val="00DF0E45"/>
    <w:pPr>
      <w:framePr w:hSpace="142" w:wrap="around" w:vAnchor="page" w:hAnchor="page" w:x="9186" w:y="1645"/>
      <w:spacing w:after="130" w:line="276" w:lineRule="auto"/>
      <w:suppressOverlap/>
    </w:pPr>
    <w:rPr>
      <w:rFonts w:ascii="Calibri" w:eastAsia="Times New Roman" w:hAnsi="Calibri" w:cs="Calibri"/>
      <w:noProof/>
      <w:sz w:val="17"/>
      <w:szCs w:val="24"/>
      <w:lang w:eastAsia="da-DK"/>
    </w:rPr>
  </w:style>
  <w:style w:type="character" w:customStyle="1" w:styleId="UdenorddelingTegn">
    <w:name w:val="Uden_orddeling Tegn"/>
    <w:basedOn w:val="Standardskrifttypeiafsnit"/>
    <w:link w:val="Udenorddeling"/>
    <w:rsid w:val="00DF0E45"/>
    <w:rPr>
      <w:rFonts w:ascii="Calibri" w:eastAsia="Times New Roman" w:hAnsi="Calibri" w:cs="Calibri"/>
      <w:noProof/>
      <w:sz w:val="17"/>
      <w:szCs w:val="24"/>
      <w:lang w:eastAsia="da-DK"/>
    </w:rPr>
  </w:style>
  <w:style w:type="paragraph" w:styleId="Listeafsnit">
    <w:name w:val="List Paragraph"/>
    <w:basedOn w:val="Normal"/>
    <w:uiPriority w:val="99"/>
    <w:semiHidden/>
    <w:qFormat/>
    <w:rsid w:val="00884082"/>
    <w:pPr>
      <w:ind w:left="720"/>
      <w:contextualSpacing/>
    </w:pPr>
  </w:style>
  <w:style w:type="paragraph" w:customStyle="1" w:styleId="Default">
    <w:name w:val="Default"/>
    <w:rsid w:val="00C278C2"/>
    <w:pPr>
      <w:autoSpaceDE w:val="0"/>
      <w:autoSpaceDN w:val="0"/>
      <w:adjustRightInd w:val="0"/>
      <w:spacing w:line="240" w:lineRule="auto"/>
    </w:pPr>
    <w:rPr>
      <w:rFonts w:ascii="Georgia" w:hAnsi="Georgia" w:cs="Georgia"/>
      <w:color w:val="000000"/>
      <w:sz w:val="24"/>
      <w:szCs w:val="24"/>
    </w:rPr>
  </w:style>
  <w:style w:type="character" w:styleId="Kommentarhenvisning">
    <w:name w:val="annotation reference"/>
    <w:basedOn w:val="Standardskrifttypeiafsnit"/>
    <w:uiPriority w:val="99"/>
    <w:semiHidden/>
    <w:unhideWhenUsed/>
    <w:rsid w:val="00161C77"/>
    <w:rPr>
      <w:sz w:val="16"/>
      <w:szCs w:val="16"/>
    </w:rPr>
  </w:style>
  <w:style w:type="paragraph" w:styleId="Kommentartekst">
    <w:name w:val="annotation text"/>
    <w:basedOn w:val="Normal"/>
    <w:link w:val="KommentartekstTegn"/>
    <w:uiPriority w:val="99"/>
    <w:semiHidden/>
    <w:unhideWhenUsed/>
    <w:rsid w:val="00161C7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61C77"/>
    <w:rPr>
      <w:rFonts w:ascii="Garamond" w:hAnsi="Garamond"/>
      <w:sz w:val="20"/>
      <w:szCs w:val="20"/>
    </w:rPr>
  </w:style>
  <w:style w:type="paragraph" w:styleId="Kommentaremne">
    <w:name w:val="annotation subject"/>
    <w:basedOn w:val="Kommentartekst"/>
    <w:next w:val="Kommentartekst"/>
    <w:link w:val="KommentaremneTegn"/>
    <w:uiPriority w:val="99"/>
    <w:semiHidden/>
    <w:unhideWhenUsed/>
    <w:rsid w:val="00161C77"/>
    <w:rPr>
      <w:b/>
      <w:bCs/>
    </w:rPr>
  </w:style>
  <w:style w:type="character" w:customStyle="1" w:styleId="KommentaremneTegn">
    <w:name w:val="Kommentaremne Tegn"/>
    <w:basedOn w:val="KommentartekstTegn"/>
    <w:link w:val="Kommentaremne"/>
    <w:uiPriority w:val="99"/>
    <w:semiHidden/>
    <w:rsid w:val="00161C77"/>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40443">
      <w:bodyDiv w:val="1"/>
      <w:marLeft w:val="0"/>
      <w:marRight w:val="0"/>
      <w:marTop w:val="0"/>
      <w:marBottom w:val="0"/>
      <w:divBdr>
        <w:top w:val="none" w:sz="0" w:space="0" w:color="auto"/>
        <w:left w:val="none" w:sz="0" w:space="0" w:color="auto"/>
        <w:bottom w:val="none" w:sz="0" w:space="0" w:color="auto"/>
        <w:right w:val="none" w:sz="0" w:space="0" w:color="auto"/>
      </w:divBdr>
    </w:div>
    <w:div w:id="1266380527">
      <w:bodyDiv w:val="1"/>
      <w:marLeft w:val="0"/>
      <w:marRight w:val="0"/>
      <w:marTop w:val="0"/>
      <w:marBottom w:val="0"/>
      <w:divBdr>
        <w:top w:val="none" w:sz="0" w:space="0" w:color="auto"/>
        <w:left w:val="none" w:sz="0" w:space="0" w:color="auto"/>
        <w:bottom w:val="none" w:sz="0" w:space="0" w:color="auto"/>
        <w:right w:val="none" w:sz="0" w:space="0" w:color="auto"/>
      </w:divBdr>
    </w:div>
    <w:div w:id="1399353899">
      <w:bodyDiv w:val="1"/>
      <w:marLeft w:val="0"/>
      <w:marRight w:val="0"/>
      <w:marTop w:val="0"/>
      <w:marBottom w:val="0"/>
      <w:divBdr>
        <w:top w:val="none" w:sz="0" w:space="0" w:color="auto"/>
        <w:left w:val="none" w:sz="0" w:space="0" w:color="auto"/>
        <w:bottom w:val="none" w:sz="0" w:space="0" w:color="auto"/>
        <w:right w:val="none" w:sz="0" w:space="0" w:color="auto"/>
      </w:divBdr>
    </w:div>
    <w:div w:id="1591963071">
      <w:bodyDiv w:val="1"/>
      <w:marLeft w:val="0"/>
      <w:marRight w:val="0"/>
      <w:marTop w:val="0"/>
      <w:marBottom w:val="0"/>
      <w:divBdr>
        <w:top w:val="none" w:sz="0" w:space="0" w:color="auto"/>
        <w:left w:val="none" w:sz="0" w:space="0" w:color="auto"/>
        <w:bottom w:val="none" w:sz="0" w:space="0" w:color="auto"/>
        <w:right w:val="none" w:sz="0" w:space="0" w:color="auto"/>
      </w:divBdr>
    </w:div>
    <w:div w:id="1700355204">
      <w:bodyDiv w:val="1"/>
      <w:marLeft w:val="0"/>
      <w:marRight w:val="0"/>
      <w:marTop w:val="0"/>
      <w:marBottom w:val="0"/>
      <w:divBdr>
        <w:top w:val="none" w:sz="0" w:space="0" w:color="auto"/>
        <w:left w:val="none" w:sz="0" w:space="0" w:color="auto"/>
        <w:bottom w:val="none" w:sz="0" w:space="0" w:color="auto"/>
        <w:right w:val="none" w:sz="0" w:space="0" w:color="auto"/>
      </w:divBdr>
    </w:div>
    <w:div w:id="1820148006">
      <w:bodyDiv w:val="1"/>
      <w:marLeft w:val="0"/>
      <w:marRight w:val="0"/>
      <w:marTop w:val="0"/>
      <w:marBottom w:val="0"/>
      <w:divBdr>
        <w:top w:val="none" w:sz="0" w:space="0" w:color="auto"/>
        <w:left w:val="none" w:sz="0" w:space="0" w:color="auto"/>
        <w:bottom w:val="none" w:sz="0" w:space="0" w:color="auto"/>
        <w:right w:val="none" w:sz="0" w:space="0" w:color="auto"/>
      </w:divBdr>
    </w:div>
    <w:div w:id="209357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19080\AppData\Roaming\Microsoft\Skabeloner\Skatteministeriet%20Grundskabel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02700AAA9243BFBFA7499DA621CF99"/>
        <w:category>
          <w:name w:val="Generelt"/>
          <w:gallery w:val="placeholder"/>
        </w:category>
        <w:types>
          <w:type w:val="bbPlcHdr"/>
        </w:types>
        <w:behaviors>
          <w:behavior w:val="content"/>
        </w:behaviors>
        <w:guid w:val="{711539F6-B683-43E4-85AF-AE5670614F5E}"/>
      </w:docPartPr>
      <w:docPartBody>
        <w:p w:rsidR="007752DF" w:rsidRDefault="006D2201" w:rsidP="006D2201">
          <w:pPr>
            <w:pStyle w:val="1102700AAA9243BFBFA7499DA621CF991"/>
          </w:pPr>
          <w:r>
            <w:rPr>
              <w:rStyle w:val="Pladsholdertekst"/>
            </w:rPr>
            <w:t>Klik og vælg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27"/>
    <w:rsid w:val="00021CB2"/>
    <w:rsid w:val="000C7748"/>
    <w:rsid w:val="000E2E27"/>
    <w:rsid w:val="000E70F0"/>
    <w:rsid w:val="001218F8"/>
    <w:rsid w:val="001B697B"/>
    <w:rsid w:val="001C729D"/>
    <w:rsid w:val="001F06EB"/>
    <w:rsid w:val="002B55D2"/>
    <w:rsid w:val="003531BE"/>
    <w:rsid w:val="003A197E"/>
    <w:rsid w:val="00446A07"/>
    <w:rsid w:val="00491717"/>
    <w:rsid w:val="005148DC"/>
    <w:rsid w:val="005A5C4B"/>
    <w:rsid w:val="00657F75"/>
    <w:rsid w:val="006D2201"/>
    <w:rsid w:val="007752DF"/>
    <w:rsid w:val="00795A2C"/>
    <w:rsid w:val="007B5A3D"/>
    <w:rsid w:val="00B1639E"/>
    <w:rsid w:val="00C1191D"/>
    <w:rsid w:val="00D902F7"/>
    <w:rsid w:val="00EB0B7B"/>
    <w:rsid w:val="00EC1A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C729D"/>
  </w:style>
  <w:style w:type="paragraph" w:customStyle="1" w:styleId="8A9631ABA9374F00B29A8A676D7EA1C2">
    <w:name w:val="8A9631ABA9374F00B29A8A676D7EA1C2"/>
    <w:rsid w:val="000E2E27"/>
  </w:style>
  <w:style w:type="paragraph" w:customStyle="1" w:styleId="1102700AAA9243BFBFA7499DA621CF99">
    <w:name w:val="1102700AAA9243BFBFA7499DA621CF99"/>
    <w:rsid w:val="002B55D2"/>
  </w:style>
  <w:style w:type="paragraph" w:customStyle="1" w:styleId="9B624697CB6342D0B3824363A62F23F9">
    <w:name w:val="9B624697CB6342D0B3824363A62F23F9"/>
    <w:rsid w:val="006D2201"/>
  </w:style>
  <w:style w:type="paragraph" w:customStyle="1" w:styleId="1102700AAA9243BFBFA7499DA621CF991">
    <w:name w:val="1102700AAA9243BFBFA7499DA621CF991"/>
    <w:rsid w:val="006D2201"/>
    <w:pPr>
      <w:spacing w:after="0" w:line="220" w:lineRule="exact"/>
    </w:pPr>
    <w:rPr>
      <w:rFonts w:ascii="Arial" w:eastAsiaTheme="minorHAnsi" w:hAnsi="Arial"/>
      <w:noProof/>
      <w:color w:val="14143C"/>
      <w:spacing w:val="5"/>
      <w:sz w:val="14"/>
      <w:szCs w:val="18"/>
      <w:lang w:eastAsia="en-US"/>
    </w:rPr>
  </w:style>
  <w:style w:type="paragraph" w:customStyle="1" w:styleId="9B624697CB6342D0B3824363A62F23F91">
    <w:name w:val="9B624697CB6342D0B3824363A62F23F91"/>
    <w:rsid w:val="006D2201"/>
    <w:pPr>
      <w:spacing w:after="0" w:line="280" w:lineRule="atLeast"/>
    </w:pPr>
    <w:rPr>
      <w:rFonts w:ascii="Garamond" w:eastAsiaTheme="minorHAnsi" w:hAnsi="Garamond"/>
      <w:szCs w:val="18"/>
      <w:lang w:eastAsia="en-US"/>
    </w:rPr>
  </w:style>
  <w:style w:type="paragraph" w:customStyle="1" w:styleId="56E19A9A13AD4F0E97DF33B7C20F73D6">
    <w:name w:val="56E19A9A13AD4F0E97DF33B7C20F73D6"/>
    <w:rsid w:val="00EC1A68"/>
  </w:style>
  <w:style w:type="paragraph" w:customStyle="1" w:styleId="CD131A304EC146C9A8EEBB78B9564B56">
    <w:name w:val="CD131A304EC146C9A8EEBB78B9564B56"/>
    <w:rsid w:val="00EC1A68"/>
  </w:style>
  <w:style w:type="paragraph" w:customStyle="1" w:styleId="1E2CA45C219D4104A613B99F54C69A42">
    <w:name w:val="1E2CA45C219D4104A613B99F54C69A42"/>
    <w:rsid w:val="00EC1A68"/>
  </w:style>
  <w:style w:type="paragraph" w:customStyle="1" w:styleId="797ABB5B8C2049BDBA7B16C20687CDE3">
    <w:name w:val="797ABB5B8C2049BDBA7B16C20687CDE3"/>
    <w:rsid w:val="001C729D"/>
  </w:style>
  <w:style w:type="paragraph" w:customStyle="1" w:styleId="D37D6FCCA7794345802D61BCC8506938">
    <w:name w:val="D37D6FCCA7794345802D61BCC8506938"/>
    <w:rsid w:val="001C72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C729D"/>
  </w:style>
  <w:style w:type="paragraph" w:customStyle="1" w:styleId="8A9631ABA9374F00B29A8A676D7EA1C2">
    <w:name w:val="8A9631ABA9374F00B29A8A676D7EA1C2"/>
    <w:rsid w:val="000E2E27"/>
  </w:style>
  <w:style w:type="paragraph" w:customStyle="1" w:styleId="1102700AAA9243BFBFA7499DA621CF99">
    <w:name w:val="1102700AAA9243BFBFA7499DA621CF99"/>
    <w:rsid w:val="002B55D2"/>
  </w:style>
  <w:style w:type="paragraph" w:customStyle="1" w:styleId="9B624697CB6342D0B3824363A62F23F9">
    <w:name w:val="9B624697CB6342D0B3824363A62F23F9"/>
    <w:rsid w:val="006D2201"/>
  </w:style>
  <w:style w:type="paragraph" w:customStyle="1" w:styleId="1102700AAA9243BFBFA7499DA621CF991">
    <w:name w:val="1102700AAA9243BFBFA7499DA621CF991"/>
    <w:rsid w:val="006D2201"/>
    <w:pPr>
      <w:spacing w:after="0" w:line="220" w:lineRule="exact"/>
    </w:pPr>
    <w:rPr>
      <w:rFonts w:ascii="Arial" w:eastAsiaTheme="minorHAnsi" w:hAnsi="Arial"/>
      <w:noProof/>
      <w:color w:val="14143C"/>
      <w:spacing w:val="5"/>
      <w:sz w:val="14"/>
      <w:szCs w:val="18"/>
      <w:lang w:eastAsia="en-US"/>
    </w:rPr>
  </w:style>
  <w:style w:type="paragraph" w:customStyle="1" w:styleId="9B624697CB6342D0B3824363A62F23F91">
    <w:name w:val="9B624697CB6342D0B3824363A62F23F91"/>
    <w:rsid w:val="006D2201"/>
    <w:pPr>
      <w:spacing w:after="0" w:line="280" w:lineRule="atLeast"/>
    </w:pPr>
    <w:rPr>
      <w:rFonts w:ascii="Garamond" w:eastAsiaTheme="minorHAnsi" w:hAnsi="Garamond"/>
      <w:szCs w:val="18"/>
      <w:lang w:eastAsia="en-US"/>
    </w:rPr>
  </w:style>
  <w:style w:type="paragraph" w:customStyle="1" w:styleId="56E19A9A13AD4F0E97DF33B7C20F73D6">
    <w:name w:val="56E19A9A13AD4F0E97DF33B7C20F73D6"/>
    <w:rsid w:val="00EC1A68"/>
  </w:style>
  <w:style w:type="paragraph" w:customStyle="1" w:styleId="CD131A304EC146C9A8EEBB78B9564B56">
    <w:name w:val="CD131A304EC146C9A8EEBB78B9564B56"/>
    <w:rsid w:val="00EC1A68"/>
  </w:style>
  <w:style w:type="paragraph" w:customStyle="1" w:styleId="1E2CA45C219D4104A613B99F54C69A42">
    <w:name w:val="1E2CA45C219D4104A613B99F54C69A42"/>
    <w:rsid w:val="00EC1A68"/>
  </w:style>
  <w:style w:type="paragraph" w:customStyle="1" w:styleId="797ABB5B8C2049BDBA7B16C20687CDE3">
    <w:name w:val="797ABB5B8C2049BDBA7B16C20687CDE3"/>
    <w:rsid w:val="001C729D"/>
  </w:style>
  <w:style w:type="paragraph" w:customStyle="1" w:styleId="D37D6FCCA7794345802D61BCC8506938">
    <w:name w:val="D37D6FCCA7794345802D61BCC8506938"/>
    <w:rsid w:val="001C7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katteministeriet">
      <a:dk1>
        <a:sysClr val="windowText" lastClr="000000"/>
      </a:dk1>
      <a:lt1>
        <a:sysClr val="window" lastClr="FFFFFF"/>
      </a:lt1>
      <a:dk2>
        <a:srgbClr val="7D7D7D"/>
      </a:dk2>
      <a:lt2>
        <a:srgbClr val="FAF9F9"/>
      </a:lt2>
      <a:accent1>
        <a:srgbClr val="14143C"/>
      </a:accent1>
      <a:accent2>
        <a:srgbClr val="72728A"/>
      </a:accent2>
      <a:accent3>
        <a:srgbClr val="D1C5C3"/>
      </a:accent3>
      <a:accent4>
        <a:srgbClr val="E3DCDB"/>
      </a:accent4>
      <a:accent5>
        <a:srgbClr val="B1DACA"/>
      </a:accent5>
      <a:accent6>
        <a:srgbClr val="D0E9D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Skatteministeriet Grundskabelon</Template>
  <TotalTime>0</TotalTime>
  <Pages>58</Pages>
  <Words>12126</Words>
  <Characters>74576</Characters>
  <Application>Microsoft Office Word</Application>
  <DocSecurity>0</DocSecurity>
  <Lines>2868</Lines>
  <Paragraphs>817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85885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2015-12-03T12:33:00Z</dcterms:created>
  <dcterms:modified xsi:type="dcterms:W3CDTF">2015-12-03T15:19:00Z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by">
    <vt:lpwstr>www.skabelondesign.dk</vt:lpwstr>
  </property>
  <property fmtid="{D5CDD505-2E9C-101B-9397-08002B2CF9AE}" pid="3" name="title">
    <vt:lpwstr>Høringsskema - endelig version (DOK137053645)</vt:lpwstr>
  </property>
  <property fmtid="{D5CDD505-2E9C-101B-9397-08002B2CF9AE}" pid="4" name="path">
    <vt:lpwstr>C:\Users\w07704\AppData\Local\Temp\18\Scanjour\Captia\SJ20151203151329170 [DOK137053645].DOCX</vt:lpwstr>
  </property>
  <property fmtid="{D5CDD505-2E9C-101B-9397-08002B2CF9AE}" pid="5" name="command">
    <vt:lpwstr/>
  </property>
</Properties>
</file>